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18" w:rsidRPr="00415177" w:rsidRDefault="00E6080F" w:rsidP="00E6080F">
      <w:pPr>
        <w:pStyle w:val="ConsPlusNormal"/>
        <w:jc w:val="right"/>
        <w:rPr>
          <w:rFonts w:ascii="Times New Roman" w:hAnsi="Times New Roman" w:cs="Times New Roman"/>
          <w:sz w:val="28"/>
          <w:szCs w:val="28"/>
        </w:rPr>
      </w:pPr>
      <w:bookmarkStart w:id="0" w:name="_GoBack"/>
      <w:bookmarkEnd w:id="0"/>
      <w:r w:rsidRPr="00415177">
        <w:rPr>
          <w:rFonts w:ascii="Times New Roman" w:hAnsi="Times New Roman" w:cs="Times New Roman"/>
          <w:sz w:val="28"/>
          <w:szCs w:val="28"/>
        </w:rPr>
        <w:t>ПРОЕКТ</w:t>
      </w:r>
    </w:p>
    <w:p w:rsidR="005F1C18" w:rsidRPr="00415177" w:rsidRDefault="005F1C18">
      <w:pPr>
        <w:pStyle w:val="ConsPlusTitle"/>
        <w:jc w:val="center"/>
        <w:rPr>
          <w:rFonts w:ascii="Times New Roman" w:hAnsi="Times New Roman" w:cs="Times New Roman"/>
          <w:sz w:val="28"/>
          <w:szCs w:val="28"/>
        </w:rPr>
      </w:pPr>
      <w:bookmarkStart w:id="1" w:name="P50"/>
      <w:bookmarkEnd w:id="1"/>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415177">
      <w:pPr>
        <w:pStyle w:val="af2"/>
        <w:spacing w:line="276" w:lineRule="auto"/>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Новгородским, юге - с Шимским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415177">
      <w:pPr>
        <w:pStyle w:val="af2"/>
        <w:spacing w:line="276" w:lineRule="auto"/>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415177">
      <w:pPr>
        <w:pStyle w:val="af2"/>
        <w:spacing w:line="276" w:lineRule="auto"/>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415177">
      <w:pPr>
        <w:pStyle w:val="af2"/>
        <w:spacing w:line="276" w:lineRule="auto"/>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Белой, затем их</w:t>
      </w:r>
      <w:r w:rsidR="00336D3A">
        <w:rPr>
          <w:sz w:val="28"/>
          <w:szCs w:val="28"/>
        </w:rPr>
        <w:t>,</w:t>
      </w:r>
      <w:r w:rsidRPr="00415177">
        <w:rPr>
          <w:sz w:val="28"/>
          <w:szCs w:val="28"/>
        </w:rPr>
        <w:t xml:space="preserve"> крайне </w:t>
      </w:r>
      <w:r w:rsidRPr="00415177">
        <w:rPr>
          <w:sz w:val="28"/>
          <w:szCs w:val="28"/>
        </w:rPr>
        <w:lastRenderedPageBreak/>
        <w:t>ослабевших</w:t>
      </w:r>
      <w:r w:rsidR="00336D3A">
        <w:rPr>
          <w:sz w:val="28"/>
          <w:szCs w:val="28"/>
        </w:rPr>
        <w:t>,</w:t>
      </w:r>
      <w:r w:rsidRPr="00415177">
        <w:rPr>
          <w:sz w:val="28"/>
          <w:szCs w:val="28"/>
        </w:rPr>
        <w:t xml:space="preserve">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415177">
      <w:pPr>
        <w:pStyle w:val="af2"/>
        <w:spacing w:line="276" w:lineRule="auto"/>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415177">
      <w:pPr>
        <w:pStyle w:val="af2"/>
        <w:spacing w:line="276" w:lineRule="auto"/>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415177">
      <w:pPr>
        <w:pStyle w:val="af2"/>
        <w:spacing w:line="276" w:lineRule="auto"/>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B15F64">
      <w:pPr>
        <w:spacing w:after="0"/>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BE611E">
        <w:rPr>
          <w:rFonts w:ascii="Times New Roman" w:hAnsi="Times New Roman" w:cs="Times New Roman"/>
          <w:sz w:val="28"/>
          <w:szCs w:val="28"/>
        </w:rPr>
        <w:t>Батецкого муниципального района</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w:t>
      </w:r>
      <w:r w:rsidR="00336D3A">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Наибольшая численность населения в следующих населенных пунктах:  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Средний рост основных показателей социально-экономического развития </w:t>
      </w:r>
      <w:r w:rsidR="00BE611E">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 xml:space="preserve"> Первичную медико-санитарную помощь оказывают 7 фельдшерско-акушерских пунктов (ФАП).</w:t>
      </w:r>
    </w:p>
    <w:p w:rsidR="00000915"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w:t>
      </w:r>
      <w:r w:rsidR="00000915" w:rsidRPr="00415177">
        <w:rPr>
          <w:rFonts w:ascii="Times New Roman" w:hAnsi="Times New Roman" w:cs="Times New Roman"/>
          <w:sz w:val="28"/>
          <w:szCs w:val="28"/>
        </w:rPr>
        <w:lastRenderedPageBreak/>
        <w:t xml:space="preserve">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415177">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415177">
      <w:pPr>
        <w:suppressAutoHyphens/>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415177">
      <w:pPr>
        <w:suppressAutoHyphens/>
        <w:spacing w:after="0"/>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00152C3F">
        <w:rPr>
          <w:rFonts w:ascii="Times New Roman" w:hAnsi="Times New Roman" w:cs="Times New Roman"/>
          <w:sz w:val="28"/>
          <w:szCs w:val="28"/>
        </w:rPr>
        <w:t>Об утверждении о</w:t>
      </w:r>
      <w:r w:rsidRPr="00415177">
        <w:rPr>
          <w:rFonts w:ascii="Times New Roman" w:hAnsi="Times New Roman" w:cs="Times New Roman"/>
          <w:sz w:val="28"/>
          <w:szCs w:val="28"/>
        </w:rPr>
        <w:t>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BE611E">
      <w:pPr>
        <w:pStyle w:val="ConsPlusTitle"/>
        <w:jc w:val="center"/>
        <w:rPr>
          <w:rFonts w:ascii="Times New Roman" w:hAnsi="Times New Roman" w:cs="Times New Roman"/>
          <w:sz w:val="28"/>
          <w:szCs w:val="28"/>
        </w:rPr>
      </w:pPr>
      <w:r>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 xml:space="preserve">Российской Федерации - 14,6 процента. Необходимо </w:t>
      </w:r>
      <w:r w:rsidRPr="00415177">
        <w:rPr>
          <w:rFonts w:ascii="Times New Roman" w:hAnsi="Times New Roman" w:cs="Times New Roman"/>
          <w:sz w:val="28"/>
          <w:szCs w:val="28"/>
        </w:rPr>
        <w:lastRenderedPageBreak/>
        <w:t>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415177">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сектора.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w:t>
      </w:r>
      <w:r w:rsidRPr="00415177">
        <w:rPr>
          <w:rFonts w:ascii="Times New Roman" w:hAnsi="Times New Roman" w:cs="Times New Roman"/>
          <w:sz w:val="28"/>
          <w:szCs w:val="28"/>
        </w:rPr>
        <w:lastRenderedPageBreak/>
        <w:t xml:space="preserve">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создание необходимой базовой инвестиционной инфраструктуры для поддержки предпринимательской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заработной платы целевых категорий и средних заработных плат в Новгородской области рост реальной заработной платы в целом по </w:t>
      </w:r>
      <w:r w:rsidRPr="00415177">
        <w:rPr>
          <w:rFonts w:ascii="Times New Roman" w:hAnsi="Times New Roman" w:cs="Times New Roman"/>
          <w:sz w:val="28"/>
          <w:szCs w:val="28"/>
        </w:rPr>
        <w:lastRenderedPageBreak/>
        <w:t xml:space="preserve">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D4D41" w:rsidRDefault="005D4D41">
      <w:pPr>
        <w:pStyle w:val="ConsPlusNormal"/>
        <w:jc w:val="right"/>
        <w:outlineLvl w:val="3"/>
        <w:rPr>
          <w:rFonts w:ascii="Times New Roman" w:hAnsi="Times New Roman" w:cs="Times New Roman"/>
          <w:sz w:val="28"/>
          <w:szCs w:val="28"/>
        </w:rPr>
      </w:pPr>
    </w:p>
    <w:p w:rsidR="00B15F64" w:rsidRDefault="00B15F64">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2" w:name="P252"/>
      <w:bookmarkEnd w:id="2"/>
      <w:r w:rsidRPr="00415177">
        <w:rPr>
          <w:rFonts w:ascii="Times New Roman" w:hAnsi="Times New Roman" w:cs="Times New Roman"/>
          <w:sz w:val="28"/>
          <w:szCs w:val="28"/>
        </w:rPr>
        <w:t>Ожидаемые результаты реализации Стратегии</w:t>
      </w:r>
    </w:p>
    <w:p w:rsidR="005F1C18" w:rsidRDefault="005F1C18">
      <w:pPr>
        <w:pStyle w:val="ConsPlusNormal"/>
        <w:jc w:val="both"/>
        <w:rPr>
          <w:rFonts w:ascii="Times New Roman" w:hAnsi="Times New Roman" w:cs="Times New Roman"/>
          <w:sz w:val="28"/>
          <w:szCs w:val="28"/>
        </w:rPr>
      </w:pP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629"/>
        <w:gridCol w:w="737"/>
        <w:gridCol w:w="850"/>
        <w:gridCol w:w="1304"/>
        <w:gridCol w:w="1304"/>
        <w:gridCol w:w="1361"/>
      </w:tblGrid>
      <w:tr w:rsidR="005F1C18" w:rsidRPr="00415177" w:rsidTr="000E721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629"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36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629"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37"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61"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rsidP="00592221">
            <w:pPr>
              <w:pStyle w:val="ConsPlusNormal"/>
              <w:jc w:val="center"/>
              <w:rPr>
                <w:rFonts w:ascii="Times New Roman" w:hAnsi="Times New Roman" w:cs="Times New Roman"/>
                <w:sz w:val="28"/>
                <w:szCs w:val="28"/>
              </w:rPr>
            </w:pPr>
          </w:p>
        </w:tc>
        <w:tc>
          <w:tcPr>
            <w:tcW w:w="850"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304"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30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pPr>
              <w:pStyle w:val="ConsPlusNormal"/>
              <w:jc w:val="center"/>
              <w:rPr>
                <w:rFonts w:ascii="Times New Roman" w:hAnsi="Times New Roman" w:cs="Times New Roman"/>
                <w:sz w:val="28"/>
                <w:szCs w:val="28"/>
              </w:rPr>
            </w:pPr>
          </w:p>
        </w:tc>
        <w:tc>
          <w:tcPr>
            <w:tcW w:w="850"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304"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629"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37"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304"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rsidP="00592221">
            <w:pPr>
              <w:pStyle w:val="ConsPlusNormal"/>
              <w:jc w:val="center"/>
              <w:rPr>
                <w:rFonts w:ascii="Times New Roman" w:hAnsi="Times New Roman" w:cs="Times New Roman"/>
                <w:sz w:val="28"/>
                <w:szCs w:val="28"/>
              </w:rPr>
            </w:pPr>
          </w:p>
        </w:tc>
        <w:tc>
          <w:tcPr>
            <w:tcW w:w="850"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pPr>
              <w:pStyle w:val="ConsPlusNormal"/>
              <w:jc w:val="center"/>
              <w:rPr>
                <w:rFonts w:ascii="Times New Roman" w:hAnsi="Times New Roman" w:cs="Times New Roman"/>
                <w:sz w:val="28"/>
                <w:szCs w:val="28"/>
              </w:rPr>
            </w:pPr>
          </w:p>
        </w:tc>
        <w:tc>
          <w:tcPr>
            <w:tcW w:w="850"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04"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30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61"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629"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37"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629" w:type="dxa"/>
            <w:vMerge/>
          </w:tcPr>
          <w:p w:rsidR="000E7213" w:rsidRPr="008B7319" w:rsidRDefault="000E7213">
            <w:pPr>
              <w:rPr>
                <w:rFonts w:ascii="Times New Roman" w:hAnsi="Times New Roman"/>
                <w:sz w:val="28"/>
                <w:szCs w:val="28"/>
              </w:rPr>
            </w:pPr>
          </w:p>
        </w:tc>
        <w:tc>
          <w:tcPr>
            <w:tcW w:w="737" w:type="dxa"/>
            <w:vMerge/>
          </w:tcPr>
          <w:p w:rsidR="000E7213" w:rsidRPr="008B7319" w:rsidRDefault="000E7213" w:rsidP="00A52EA8">
            <w:pPr>
              <w:pStyle w:val="ConsPlusNormal"/>
              <w:jc w:val="center"/>
              <w:rPr>
                <w:rFonts w:ascii="Times New Roman" w:hAnsi="Times New Roman" w:cs="Times New Roman"/>
                <w:sz w:val="28"/>
                <w:szCs w:val="28"/>
              </w:rPr>
            </w:pPr>
          </w:p>
        </w:tc>
        <w:tc>
          <w:tcPr>
            <w:tcW w:w="850"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0E721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629" w:type="dxa"/>
            <w:vMerge/>
          </w:tcPr>
          <w:p w:rsidR="00017FD5" w:rsidRPr="008B7319" w:rsidRDefault="00017FD5">
            <w:pPr>
              <w:rPr>
                <w:rFonts w:ascii="Times New Roman" w:hAnsi="Times New Roman"/>
                <w:sz w:val="28"/>
                <w:szCs w:val="28"/>
              </w:rPr>
            </w:pPr>
          </w:p>
        </w:tc>
        <w:tc>
          <w:tcPr>
            <w:tcW w:w="737" w:type="dxa"/>
            <w:vMerge/>
          </w:tcPr>
          <w:p w:rsidR="00017FD5" w:rsidRPr="008B7319" w:rsidRDefault="00017FD5">
            <w:pPr>
              <w:pStyle w:val="ConsPlusNormal"/>
              <w:jc w:val="center"/>
              <w:rPr>
                <w:rFonts w:ascii="Times New Roman" w:hAnsi="Times New Roman" w:cs="Times New Roman"/>
                <w:sz w:val="28"/>
                <w:szCs w:val="28"/>
              </w:rPr>
            </w:pPr>
          </w:p>
        </w:tc>
        <w:tc>
          <w:tcPr>
            <w:tcW w:w="850"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61"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2B4795">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629"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04"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Целевой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rsidP="00A52EA8">
            <w:pPr>
              <w:pStyle w:val="ConsPlusNormal"/>
              <w:jc w:val="center"/>
              <w:rPr>
                <w:rFonts w:ascii="Times New Roman" w:hAnsi="Times New Roman" w:cs="Times New Roman"/>
                <w:sz w:val="28"/>
                <w:szCs w:val="28"/>
              </w:rPr>
            </w:pP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Консервативный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pPr>
              <w:pStyle w:val="ConsPlusNormal"/>
              <w:jc w:val="center"/>
              <w:rPr>
                <w:rFonts w:ascii="Times New Roman" w:hAnsi="Times New Roman" w:cs="Times New Roman"/>
                <w:sz w:val="28"/>
                <w:szCs w:val="28"/>
              </w:rPr>
            </w:pPr>
          </w:p>
        </w:tc>
        <w:tc>
          <w:tcPr>
            <w:tcW w:w="850"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629"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629"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37"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rsidP="00A52EA8">
            <w:pPr>
              <w:pStyle w:val="ConsPlusNormal"/>
              <w:jc w:val="center"/>
              <w:rPr>
                <w:rFonts w:ascii="Times New Roman" w:hAnsi="Times New Roman" w:cs="Times New Roman"/>
                <w:sz w:val="28"/>
                <w:szCs w:val="28"/>
              </w:rPr>
            </w:pPr>
          </w:p>
        </w:tc>
        <w:tc>
          <w:tcPr>
            <w:tcW w:w="850"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pPr>
              <w:pStyle w:val="ConsPlusNormal"/>
              <w:jc w:val="center"/>
              <w:rPr>
                <w:rFonts w:ascii="Times New Roman" w:hAnsi="Times New Roman" w:cs="Times New Roman"/>
                <w:sz w:val="28"/>
                <w:szCs w:val="28"/>
              </w:rPr>
            </w:pP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304"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629"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629"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D11796">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629"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37"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rsidP="00A52EA8">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629"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w:t>
      </w:r>
      <w:r w:rsidR="00336D3A">
        <w:rPr>
          <w:rFonts w:ascii="Times New Roman" w:hAnsi="Times New Roman" w:cs="Times New Roman"/>
          <w:sz w:val="28"/>
          <w:szCs w:val="28"/>
        </w:rPr>
        <w:t>19</w:t>
      </w:r>
      <w:r w:rsidR="00152C3F">
        <w:rPr>
          <w:rFonts w:ascii="Times New Roman" w:hAnsi="Times New Roman" w:cs="Times New Roman"/>
          <w:sz w:val="28"/>
          <w:szCs w:val="28"/>
        </w:rPr>
        <w:t>-202</w:t>
      </w:r>
      <w:r w:rsidR="00336D3A">
        <w:rPr>
          <w:rFonts w:ascii="Times New Roman" w:hAnsi="Times New Roman" w:cs="Times New Roman"/>
          <w:sz w:val="28"/>
          <w:szCs w:val="28"/>
        </w:rPr>
        <w:t>0</w:t>
      </w:r>
      <w:r w:rsidRPr="00415177">
        <w:rPr>
          <w:rFonts w:ascii="Times New Roman" w:hAnsi="Times New Roman" w:cs="Times New Roman"/>
          <w:sz w:val="28"/>
          <w:szCs w:val="28"/>
        </w:rPr>
        <w:t xml:space="preserve"> год</w:t>
      </w:r>
      <w:r w:rsidR="00152C3F">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w:t>
      </w:r>
      <w:r w:rsidR="00336D3A">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336D3A">
        <w:rPr>
          <w:rFonts w:ascii="Times New Roman" w:hAnsi="Times New Roman" w:cs="Times New Roman"/>
          <w:sz w:val="28"/>
          <w:szCs w:val="28"/>
        </w:rPr>
        <w:t>2</w:t>
      </w:r>
      <w:r w:rsidRPr="00415177">
        <w:rPr>
          <w:rFonts w:ascii="Times New Roman" w:hAnsi="Times New Roman" w:cs="Times New Roman"/>
          <w:sz w:val="28"/>
          <w:szCs w:val="28"/>
        </w:rPr>
        <w:t xml:space="preserve">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w:t>
      </w:r>
      <w:r w:rsidR="00336D3A">
        <w:rPr>
          <w:rFonts w:ascii="Times New Roman" w:hAnsi="Times New Roman" w:cs="Times New Roman"/>
          <w:sz w:val="28"/>
          <w:szCs w:val="28"/>
        </w:rPr>
        <w:t>3</w:t>
      </w:r>
      <w:r w:rsidRPr="00415177">
        <w:rPr>
          <w:rFonts w:ascii="Times New Roman" w:hAnsi="Times New Roman" w:cs="Times New Roman"/>
          <w:sz w:val="28"/>
          <w:szCs w:val="28"/>
        </w:rPr>
        <w:t xml:space="preserve">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B774D0"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w:t>
      </w:r>
      <w:r w:rsidRPr="00415177">
        <w:rPr>
          <w:rFonts w:ascii="Times New Roman" w:hAnsi="Times New Roman" w:cs="Times New Roman"/>
          <w:sz w:val="28"/>
          <w:szCs w:val="28"/>
        </w:rPr>
        <w:lastRenderedPageBreak/>
        <w:t xml:space="preserve">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w:t>
      </w:r>
      <w:r w:rsidR="00336D3A">
        <w:rPr>
          <w:rFonts w:ascii="Times New Roman" w:hAnsi="Times New Roman" w:cs="Times New Roman"/>
          <w:sz w:val="28"/>
          <w:szCs w:val="28"/>
        </w:rPr>
        <w:t xml:space="preserve">граждан </w:t>
      </w:r>
      <w:r w:rsidRPr="00415177">
        <w:rPr>
          <w:rFonts w:ascii="Times New Roman" w:hAnsi="Times New Roman" w:cs="Times New Roman"/>
          <w:sz w:val="28"/>
          <w:szCs w:val="28"/>
        </w:rPr>
        <w:t>достигнет 67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w:t>
      </w:r>
      <w:r w:rsidR="00336D3A">
        <w:rPr>
          <w:rFonts w:ascii="Times New Roman" w:hAnsi="Times New Roman" w:cs="Times New Roman"/>
          <w:sz w:val="28"/>
          <w:szCs w:val="28"/>
        </w:rPr>
        <w:t>а</w:t>
      </w:r>
      <w:r w:rsidRPr="00415177">
        <w:rPr>
          <w:rFonts w:ascii="Times New Roman" w:hAnsi="Times New Roman" w:cs="Times New Roman"/>
          <w:sz w:val="28"/>
          <w:szCs w:val="28"/>
        </w:rPr>
        <w:t xml:space="preserve">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w:t>
      </w:r>
      <w:r w:rsidRPr="00415177">
        <w:rPr>
          <w:rFonts w:ascii="Times New Roman" w:hAnsi="Times New Roman" w:cs="Times New Roman"/>
          <w:sz w:val="28"/>
          <w:szCs w:val="28"/>
        </w:rPr>
        <w:lastRenderedPageBreak/>
        <w:t xml:space="preserve">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F2427E" w:rsidRDefault="009422FA"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 реализация муниципальн</w:t>
      </w:r>
      <w:r w:rsidR="00F2427E">
        <w:rPr>
          <w:rFonts w:ascii="Times New Roman" w:hAnsi="Times New Roman" w:cs="Times New Roman"/>
          <w:sz w:val="28"/>
          <w:szCs w:val="28"/>
        </w:rPr>
        <w:t>ых</w:t>
      </w:r>
      <w:r>
        <w:rPr>
          <w:rFonts w:ascii="Times New Roman" w:hAnsi="Times New Roman" w:cs="Times New Roman"/>
          <w:sz w:val="28"/>
          <w:szCs w:val="28"/>
        </w:rPr>
        <w:t xml:space="preserve"> приоритетн</w:t>
      </w:r>
      <w:r w:rsidR="00F2427E">
        <w:rPr>
          <w:rFonts w:ascii="Times New Roman" w:hAnsi="Times New Roman" w:cs="Times New Roman"/>
          <w:sz w:val="28"/>
          <w:szCs w:val="28"/>
        </w:rPr>
        <w:t>ых</w:t>
      </w:r>
      <w:r>
        <w:rPr>
          <w:rFonts w:ascii="Times New Roman" w:hAnsi="Times New Roman" w:cs="Times New Roman"/>
          <w:sz w:val="28"/>
          <w:szCs w:val="28"/>
        </w:rPr>
        <w:t xml:space="preserve"> проект</w:t>
      </w:r>
      <w:r w:rsidR="00F2427E">
        <w:rPr>
          <w:rFonts w:ascii="Times New Roman" w:hAnsi="Times New Roman" w:cs="Times New Roman"/>
          <w:sz w:val="28"/>
          <w:szCs w:val="28"/>
        </w:rPr>
        <w:t>ов</w:t>
      </w:r>
      <w:r>
        <w:rPr>
          <w:rFonts w:ascii="Times New Roman" w:hAnsi="Times New Roman" w:cs="Times New Roman"/>
          <w:sz w:val="28"/>
          <w:szCs w:val="28"/>
        </w:rPr>
        <w:t xml:space="preserve"> Новгородского кластера</w:t>
      </w:r>
      <w:r w:rsidR="00F2427E">
        <w:rPr>
          <w:rFonts w:ascii="Times New Roman" w:hAnsi="Times New Roman" w:cs="Times New Roman"/>
          <w:sz w:val="28"/>
          <w:szCs w:val="28"/>
        </w:rPr>
        <w:t>:</w:t>
      </w:r>
    </w:p>
    <w:p w:rsidR="009422FA" w:rsidRDefault="009422FA" w:rsidP="00415177">
      <w:pPr>
        <w:pStyle w:val="ConsPlusNormal"/>
        <w:ind w:firstLine="709"/>
        <w:jc w:val="both"/>
        <w:rPr>
          <w:rFonts w:ascii="Times New Roman" w:hAnsi="Times New Roman" w:cs="Times New Roman"/>
          <w:color w:val="000000"/>
          <w:sz w:val="28"/>
          <w:szCs w:val="28"/>
        </w:rPr>
      </w:pP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sidR="00F2427E">
        <w:rPr>
          <w:rFonts w:ascii="Times New Roman" w:hAnsi="Times New Roman" w:cs="Times New Roman"/>
          <w:color w:val="000000"/>
          <w:sz w:val="28"/>
          <w:szCs w:val="28"/>
        </w:rPr>
        <w:t>;</w:t>
      </w:r>
    </w:p>
    <w:p w:rsidR="00F2427E" w:rsidRPr="009422FA" w:rsidRDefault="00F2427E" w:rsidP="0041517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«Сохрани жизнь».</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предоставление семьям ежемесячной выплаты в связи с рождением (усыновлением) первого ребенка до достижения им возраста полутора лет в </w:t>
      </w:r>
      <w:r w:rsidRPr="00415177">
        <w:rPr>
          <w:rFonts w:ascii="Times New Roman" w:hAnsi="Times New Roman" w:cs="Times New Roman"/>
          <w:sz w:val="28"/>
          <w:szCs w:val="28"/>
        </w:rPr>
        <w:lastRenderedPageBreak/>
        <w:t>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граждан старше трудоспособного возраста в 2017 году до 55,7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w:t>
      </w:r>
      <w:r w:rsidR="00336D3A">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9422FA"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w:t>
      </w:r>
    </w:p>
    <w:p w:rsidR="00377461" w:rsidRDefault="009422FA" w:rsidP="0069697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Реализация муниципального приоритетного проекта Новгородского кластера </w:t>
      </w: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Pr>
          <w:rFonts w:ascii="Times New Roman" w:hAnsi="Times New Roman" w:cs="Times New Roman"/>
          <w:color w:val="000000"/>
          <w:sz w:val="28"/>
          <w:szCs w:val="28"/>
        </w:rPr>
        <w:t xml:space="preserve"> направлена с</w:t>
      </w:r>
      <w:r w:rsidRPr="009422FA">
        <w:rPr>
          <w:rFonts w:ascii="Times New Roman" w:hAnsi="Times New Roman" w:cs="Times New Roman"/>
          <w:color w:val="000000"/>
          <w:sz w:val="28"/>
          <w:szCs w:val="28"/>
        </w:rPr>
        <w:t>оздание виртуального методического кабинета для психолого-педагогического сопровождения детей – мигрантов, его наполнение и поддержка в актуальном состоянии</w:t>
      </w:r>
      <w:r w:rsidR="00F2427E">
        <w:rPr>
          <w:rFonts w:ascii="Times New Roman" w:hAnsi="Times New Roman" w:cs="Times New Roman"/>
          <w:color w:val="000000"/>
          <w:sz w:val="28"/>
          <w:szCs w:val="28"/>
        </w:rPr>
        <w:t xml:space="preserve">. </w:t>
      </w:r>
    </w:p>
    <w:p w:rsidR="00F2427E" w:rsidRPr="00F2427E" w:rsidRDefault="00F2427E" w:rsidP="00696972">
      <w:pPr>
        <w:pStyle w:val="ConsPlusNormal"/>
        <w:ind w:firstLine="709"/>
        <w:jc w:val="both"/>
        <w:rPr>
          <w:rFonts w:ascii="Times New Roman" w:hAnsi="Times New Roman" w:cs="Times New Roman"/>
          <w:sz w:val="28"/>
          <w:szCs w:val="28"/>
        </w:rPr>
      </w:pPr>
      <w:r w:rsidRPr="00F2427E">
        <w:rPr>
          <w:rFonts w:ascii="Times New Roman" w:hAnsi="Times New Roman" w:cs="Times New Roman"/>
          <w:sz w:val="28"/>
          <w:szCs w:val="28"/>
        </w:rPr>
        <w:t>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«Сохрани жизнь» </w:t>
      </w:r>
      <w:r w:rsidR="00336D3A">
        <w:rPr>
          <w:rFonts w:ascii="Times New Roman" w:hAnsi="Times New Roman" w:cs="Times New Roman"/>
          <w:color w:val="000000"/>
          <w:sz w:val="28"/>
          <w:szCs w:val="28"/>
        </w:rPr>
        <w:t xml:space="preserve">направлена  на </w:t>
      </w:r>
      <w:r>
        <w:rPr>
          <w:rFonts w:ascii="Times New Roman" w:hAnsi="Times New Roman" w:cs="Times New Roman"/>
          <w:color w:val="000000"/>
          <w:sz w:val="28"/>
          <w:szCs w:val="28"/>
        </w:rPr>
        <w:t xml:space="preserve"> </w:t>
      </w:r>
      <w:r w:rsidR="00336D3A">
        <w:rPr>
          <w:rFonts w:ascii="Times New Roman" w:hAnsi="Times New Roman" w:cs="Times New Roman"/>
          <w:color w:val="000000"/>
          <w:sz w:val="28"/>
          <w:szCs w:val="28"/>
        </w:rPr>
        <w:t>п</w:t>
      </w:r>
      <w:r w:rsidRPr="00F2427E">
        <w:rPr>
          <w:rFonts w:ascii="Times New Roman" w:hAnsi="Times New Roman" w:cs="Times New Roman"/>
          <w:color w:val="000000"/>
          <w:sz w:val="28"/>
          <w:szCs w:val="28"/>
        </w:rPr>
        <w:t>рофилактик</w:t>
      </w:r>
      <w:r w:rsidR="00336D3A">
        <w:rPr>
          <w:rFonts w:ascii="Times New Roman" w:hAnsi="Times New Roman" w:cs="Times New Roman"/>
          <w:color w:val="000000"/>
          <w:sz w:val="28"/>
          <w:szCs w:val="28"/>
        </w:rPr>
        <w:t>у</w:t>
      </w:r>
      <w:r w:rsidRPr="00F2427E">
        <w:rPr>
          <w:rFonts w:ascii="Times New Roman" w:hAnsi="Times New Roman" w:cs="Times New Roman"/>
          <w:color w:val="000000"/>
          <w:sz w:val="28"/>
          <w:szCs w:val="28"/>
        </w:rPr>
        <w:t xml:space="preserve">  абортов (уменьшение на 50%)</w:t>
      </w:r>
      <w:r w:rsidR="00336D3A">
        <w:rPr>
          <w:rFonts w:ascii="Times New Roman" w:hAnsi="Times New Roman" w:cs="Times New Roman"/>
          <w:color w:val="000000"/>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w:t>
      </w:r>
      <w:r w:rsidR="00336D3A">
        <w:rPr>
          <w:rFonts w:ascii="Times New Roman" w:hAnsi="Times New Roman"/>
          <w:sz w:val="28"/>
          <w:szCs w:val="28"/>
        </w:rPr>
        <w:t>а</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w:t>
      </w:r>
      <w:r w:rsidRPr="00415177">
        <w:rPr>
          <w:rFonts w:ascii="Times New Roman" w:hAnsi="Times New Roman"/>
          <w:sz w:val="28"/>
          <w:szCs w:val="28"/>
        </w:rPr>
        <w:lastRenderedPageBreak/>
        <w:t xml:space="preserve">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w:t>
      </w:r>
      <w:r w:rsidRPr="00415177">
        <w:rPr>
          <w:rFonts w:ascii="Times New Roman" w:hAnsi="Times New Roman"/>
          <w:sz w:val="28"/>
          <w:szCs w:val="28"/>
        </w:rPr>
        <w:lastRenderedPageBreak/>
        <w:t xml:space="preserve">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336D3A" w:rsidP="00336D3A">
      <w:pPr>
        <w:spacing w:after="0" w:line="240" w:lineRule="auto"/>
        <w:ind w:firstLine="709"/>
        <w:jc w:val="both"/>
        <w:outlineLvl w:val="4"/>
        <w:rPr>
          <w:rFonts w:ascii="Times New Roman" w:hAnsi="Times New Roman"/>
          <w:b/>
          <w:bCs/>
          <w:sz w:val="28"/>
          <w:szCs w:val="28"/>
        </w:rPr>
      </w:pPr>
      <w:r>
        <w:rPr>
          <w:rFonts w:ascii="Times New Roman" w:hAnsi="Times New Roman"/>
          <w:sz w:val="28"/>
          <w:szCs w:val="28"/>
        </w:rPr>
        <w:t>с</w:t>
      </w:r>
      <w:r w:rsidR="0014454A" w:rsidRPr="00415177">
        <w:rPr>
          <w:rFonts w:ascii="Times New Roman" w:hAnsi="Times New Roman"/>
          <w:sz w:val="28"/>
          <w:szCs w:val="28"/>
        </w:rPr>
        <w:t>лабая</w:t>
      </w:r>
      <w:r w:rsidR="00E35DBB" w:rsidRPr="00415177">
        <w:rPr>
          <w:rFonts w:ascii="Times New Roman" w:hAnsi="Times New Roman"/>
          <w:sz w:val="28"/>
          <w:szCs w:val="28"/>
        </w:rPr>
        <w:t xml:space="preserve"> </w:t>
      </w:r>
      <w:r w:rsidR="0014454A" w:rsidRPr="00415177">
        <w:rPr>
          <w:rFonts w:ascii="Times New Roman" w:hAnsi="Times New Roman"/>
          <w:sz w:val="28"/>
          <w:szCs w:val="28"/>
        </w:rPr>
        <w:t xml:space="preserve">(устаревшая) материально-техническая база образовательных </w:t>
      </w:r>
      <w:r>
        <w:rPr>
          <w:rFonts w:ascii="Times New Roman" w:hAnsi="Times New Roman"/>
          <w:sz w:val="28"/>
          <w:szCs w:val="28"/>
        </w:rPr>
        <w:t>у</w:t>
      </w:r>
      <w:r w:rsidR="0014454A" w:rsidRPr="00415177">
        <w:rPr>
          <w:rFonts w:ascii="Times New Roman" w:hAnsi="Times New Roman"/>
          <w:sz w:val="28"/>
          <w:szCs w:val="28"/>
        </w:rPr>
        <w:t>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w:t>
      </w:r>
      <w:r w:rsidR="00336D3A">
        <w:rPr>
          <w:rFonts w:ascii="Times New Roman" w:hAnsi="Times New Roman"/>
          <w:sz w:val="28"/>
          <w:szCs w:val="28"/>
        </w:rPr>
        <w:t>а</w:t>
      </w:r>
      <w:r w:rsidRPr="00415177">
        <w:rPr>
          <w:rFonts w:ascii="Times New Roman" w:hAnsi="Times New Roman"/>
          <w:sz w:val="28"/>
          <w:szCs w:val="28"/>
        </w:rPr>
        <w:t>.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 xml:space="preserve">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w:t>
      </w:r>
      <w:r w:rsidR="0014454A" w:rsidRPr="00415177">
        <w:rPr>
          <w:rFonts w:ascii="Times New Roman" w:hAnsi="Times New Roman"/>
          <w:sz w:val="28"/>
          <w:szCs w:val="28"/>
        </w:rPr>
        <w:lastRenderedPageBreak/>
        <w:t>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w:t>
      </w:r>
      <w:r w:rsidR="00FC106D">
        <w:rPr>
          <w:rFonts w:ascii="Times New Roman" w:hAnsi="Times New Roman"/>
          <w:sz w:val="28"/>
          <w:szCs w:val="28"/>
        </w:rPr>
        <w:t>ам</w:t>
      </w:r>
      <w:r w:rsidRPr="00415177">
        <w:rPr>
          <w:rFonts w:ascii="Times New Roman" w:hAnsi="Times New Roman"/>
          <w:sz w:val="28"/>
          <w:szCs w:val="28"/>
        </w:rPr>
        <w:t xml:space="preserve">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w:t>
      </w:r>
      <w:r w:rsidRPr="00415177">
        <w:rPr>
          <w:rFonts w:ascii="Times New Roman" w:hAnsi="Times New Roman"/>
          <w:sz w:val="28"/>
          <w:szCs w:val="28"/>
        </w:rPr>
        <w:lastRenderedPageBreak/>
        <w:t>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lastRenderedPageBreak/>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до 2026 года </w:t>
      </w:r>
      <w:r w:rsidRPr="00415177">
        <w:rPr>
          <w:rFonts w:ascii="Times New Roman" w:hAnsi="Times New Roman" w:cs="Times New Roman"/>
          <w:sz w:val="28"/>
          <w:szCs w:val="28"/>
        </w:rPr>
        <w:lastRenderedPageBreak/>
        <w:t>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автомобильных дорог регионального и </w:t>
      </w:r>
      <w:r w:rsidRPr="00415177">
        <w:rPr>
          <w:rFonts w:ascii="Times New Roman" w:hAnsi="Times New Roman" w:cs="Times New Roman"/>
          <w:sz w:val="28"/>
          <w:szCs w:val="28"/>
        </w:rPr>
        <w:lastRenderedPageBreak/>
        <w:t>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w:t>
      </w:r>
      <w:r w:rsidR="002110EF">
        <w:rPr>
          <w:rFonts w:ascii="Times New Roman" w:hAnsi="Times New Roman" w:cs="Times New Roman"/>
          <w:sz w:val="28"/>
          <w:szCs w:val="28"/>
        </w:rPr>
        <w:t>а</w:t>
      </w:r>
      <w:r w:rsidRPr="00415177">
        <w:rPr>
          <w:rFonts w:ascii="Times New Roman" w:hAnsi="Times New Roman" w:cs="Times New Roman"/>
          <w:sz w:val="28"/>
          <w:szCs w:val="28"/>
        </w:rPr>
        <w:t xml:space="preserve">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В 2018 году производство продукции сельского хозяйства в хозяйствах всех категорий составило  638,8 млн.рублей, рост 109,3 процента к показателю за 2017 год. Батецкий район на протяжении ряда лет остается </w:t>
      </w:r>
      <w:r w:rsidRPr="00415177">
        <w:rPr>
          <w:rFonts w:ascii="Times New Roman" w:hAnsi="Times New Roman"/>
          <w:sz w:val="28"/>
          <w:szCs w:val="28"/>
        </w:rPr>
        <w:lastRenderedPageBreak/>
        <w:t>лидером среди районов области по валовому производству молока в сутки с показателем - 20,6 тонн</w:t>
      </w:r>
      <w:r w:rsidR="00A94D31">
        <w:rPr>
          <w:rFonts w:ascii="Times New Roman" w:hAnsi="Times New Roman"/>
          <w:sz w:val="28"/>
          <w:szCs w:val="28"/>
        </w:rPr>
        <w:t>ы</w:t>
      </w:r>
      <w:r w:rsidRPr="00415177">
        <w:rPr>
          <w:rFonts w:ascii="Times New Roman" w:hAnsi="Times New Roman"/>
          <w:sz w:val="28"/>
          <w:szCs w:val="28"/>
        </w:rPr>
        <w:t xml:space="preserve">. </w:t>
      </w:r>
    </w:p>
    <w:p w:rsidR="005F1C18" w:rsidRPr="00415177" w:rsidRDefault="005F1C18" w:rsidP="00696972">
      <w:pPr>
        <w:spacing w:after="0" w:line="360" w:lineRule="atLeast"/>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696972">
      <w:pPr>
        <w:autoSpaceDE w:val="0"/>
        <w:autoSpaceDN w:val="0"/>
        <w:adjustRightInd w:val="0"/>
        <w:spacing w:after="0" w:line="360" w:lineRule="atLeast"/>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696972">
      <w:pPr>
        <w:spacing w:after="0" w:line="360" w:lineRule="atLeast"/>
        <w:ind w:firstLine="709"/>
        <w:jc w:val="both"/>
        <w:rPr>
          <w:rFonts w:ascii="Times New Roman" w:hAnsi="Times New Roman"/>
          <w:b/>
          <w:sz w:val="28"/>
          <w:szCs w:val="28"/>
        </w:rPr>
      </w:pPr>
      <w:r w:rsidRPr="00415177">
        <w:rPr>
          <w:rFonts w:ascii="Times New Roman" w:hAnsi="Times New Roman"/>
          <w:sz w:val="28"/>
          <w:szCs w:val="28"/>
        </w:rPr>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2B42CC">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lastRenderedPageBreak/>
        <w:t>«Улучшение условий жизни в сельской местности»;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696972">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lastRenderedPageBreak/>
        <w:t>Целевые показатели социально-экономического развития АПК на период до 2026 года</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28"/>
        <w:gridCol w:w="762"/>
        <w:gridCol w:w="708"/>
        <w:gridCol w:w="709"/>
        <w:gridCol w:w="709"/>
        <w:gridCol w:w="709"/>
        <w:gridCol w:w="709"/>
        <w:gridCol w:w="709"/>
      </w:tblGrid>
      <w:tr w:rsidR="00C95358" w:rsidRPr="00415177" w:rsidTr="00C95358">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95358">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95358">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95358">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95358">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w:t>
      </w:r>
      <w:r w:rsidRPr="0082739B">
        <w:rPr>
          <w:rFonts w:ascii="Times New Roman" w:hAnsi="Times New Roman"/>
          <w:sz w:val="28"/>
          <w:szCs w:val="28"/>
        </w:rPr>
        <w:lastRenderedPageBreak/>
        <w:t>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центра туристко-информационного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w:t>
      </w:r>
      <w:r w:rsidR="00B315DA">
        <w:rPr>
          <w:color w:val="000000"/>
          <w:sz w:val="28"/>
          <w:szCs w:val="28"/>
        </w:rPr>
        <w:t xml:space="preserve"> входят</w:t>
      </w:r>
      <w:r w:rsidRPr="0082739B">
        <w:rPr>
          <w:color w:val="000000"/>
          <w:sz w:val="28"/>
          <w:szCs w:val="28"/>
        </w:rPr>
        <w:t xml:space="preserve">: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w:t>
      </w:r>
      <w:r w:rsidR="00A94D31">
        <w:rPr>
          <w:rFonts w:ascii="Times New Roman" w:hAnsi="Times New Roman"/>
          <w:sz w:val="28"/>
          <w:szCs w:val="28"/>
        </w:rPr>
        <w:t>ой</w:t>
      </w:r>
      <w:r w:rsidRPr="0082739B">
        <w:rPr>
          <w:rFonts w:ascii="Times New Roman" w:hAnsi="Times New Roman"/>
          <w:sz w:val="28"/>
          <w:szCs w:val="28"/>
        </w:rPr>
        <w:t xml:space="preserve"> проблем</w:t>
      </w:r>
      <w:r w:rsidR="00A94D31">
        <w:rPr>
          <w:rFonts w:ascii="Times New Roman" w:hAnsi="Times New Roman"/>
          <w:sz w:val="28"/>
          <w:szCs w:val="28"/>
        </w:rPr>
        <w:t>ой</w:t>
      </w:r>
      <w:r w:rsidRPr="0082739B">
        <w:rPr>
          <w:rFonts w:ascii="Times New Roman" w:hAnsi="Times New Roman"/>
          <w:sz w:val="28"/>
          <w:szCs w:val="28"/>
        </w:rPr>
        <w:t xml:space="preserve">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lastRenderedPageBreak/>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lastRenderedPageBreak/>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грантовые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w:t>
      </w:r>
      <w:r w:rsidRPr="0082739B">
        <w:rPr>
          <w:sz w:val="28"/>
          <w:szCs w:val="28"/>
          <w:shd w:val="clear" w:color="auto" w:fill="FFFFFF"/>
        </w:rPr>
        <w:lastRenderedPageBreak/>
        <w:t xml:space="preserve">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w:t>
      </w:r>
      <w:r w:rsidRPr="00415177">
        <w:rPr>
          <w:rFonts w:ascii="Times New Roman" w:hAnsi="Times New Roman" w:cs="Times New Roman"/>
          <w:sz w:val="28"/>
          <w:szCs w:val="28"/>
        </w:rPr>
        <w:lastRenderedPageBreak/>
        <w:t>концентрацию организационных и финансовых ресурсов на компактной территории.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407A2F">
      <w:pPr>
        <w:spacing w:after="0"/>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w:t>
      </w:r>
      <w:r w:rsidR="00A94D31">
        <w:rPr>
          <w:rFonts w:ascii="Times New Roman" w:hAnsi="Times New Roman"/>
          <w:sz w:val="28"/>
          <w:szCs w:val="28"/>
        </w:rPr>
        <w:t>й</w:t>
      </w:r>
      <w:r w:rsidR="004575A5" w:rsidRPr="00415177">
        <w:rPr>
          <w:rFonts w:ascii="Times New Roman" w:hAnsi="Times New Roman"/>
          <w:sz w:val="28"/>
          <w:szCs w:val="28"/>
        </w:rPr>
        <w:t>.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696972">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9422FA" w:rsidRDefault="00285AF9" w:rsidP="009422FA">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9422FA">
        <w:rPr>
          <w:rFonts w:ascii="Times New Roman" w:hAnsi="Times New Roman" w:cs="Times New Roman"/>
          <w:sz w:val="28"/>
          <w:szCs w:val="28"/>
        </w:rPr>
        <w:t>. Муниципальный проект Новгородского кластера «</w:t>
      </w:r>
      <w:r w:rsidRPr="009422FA">
        <w:rPr>
          <w:rFonts w:ascii="Times New Roman" w:hAnsi="Times New Roman" w:cs="Times New Roman"/>
          <w:color w:val="000000"/>
          <w:sz w:val="28"/>
          <w:szCs w:val="28"/>
        </w:rPr>
        <w:t>Школа грамотного самоуправления многоквартирным домом (МКД)</w:t>
      </w:r>
      <w:r w:rsidR="009422FA" w:rsidRPr="009422FA">
        <w:rPr>
          <w:rFonts w:ascii="Times New Roman" w:hAnsi="Times New Roman" w:cs="Times New Roman"/>
          <w:color w:val="000000"/>
          <w:sz w:val="28"/>
          <w:szCs w:val="28"/>
        </w:rPr>
        <w:t>» направлен на</w:t>
      </w:r>
      <w:r w:rsidR="009422FA">
        <w:rPr>
          <w:rFonts w:ascii="Times New Roman" w:hAnsi="Times New Roman" w:cs="Times New Roman"/>
          <w:color w:val="000000"/>
          <w:sz w:val="28"/>
          <w:szCs w:val="28"/>
        </w:rPr>
        <w:t xml:space="preserve"> ув</w:t>
      </w:r>
      <w:r w:rsidR="009422FA" w:rsidRPr="009422FA">
        <w:rPr>
          <w:rFonts w:ascii="Times New Roman" w:hAnsi="Times New Roman" w:cs="Times New Roman"/>
          <w:color w:val="000000"/>
          <w:sz w:val="28"/>
          <w:szCs w:val="28"/>
        </w:rPr>
        <w:t xml:space="preserve">еличение доли грамотно самоуправляемых МКД </w:t>
      </w:r>
      <w:r w:rsidR="009422FA">
        <w:rPr>
          <w:rFonts w:ascii="Times New Roman" w:hAnsi="Times New Roman" w:cs="Times New Roman"/>
          <w:color w:val="000000"/>
          <w:sz w:val="28"/>
          <w:szCs w:val="28"/>
        </w:rPr>
        <w:t xml:space="preserve"> и у</w:t>
      </w:r>
      <w:r w:rsidR="009422FA" w:rsidRPr="009422FA">
        <w:rPr>
          <w:rFonts w:ascii="Times New Roman" w:hAnsi="Times New Roman" w:cs="Times New Roman"/>
          <w:color w:val="000000"/>
          <w:sz w:val="28"/>
          <w:szCs w:val="28"/>
        </w:rPr>
        <w:t>величение компетенций незанятых, в том числе предпенсионного и пенсионного возраста</w:t>
      </w:r>
      <w:r w:rsidR="009422FA">
        <w:rPr>
          <w:rFonts w:ascii="Times New Roman" w:hAnsi="Times New Roman" w:cs="Times New Roman"/>
          <w:color w:val="000000"/>
          <w:sz w:val="28"/>
          <w:szCs w:val="28"/>
        </w:rPr>
        <w:t>.</w:t>
      </w:r>
    </w:p>
    <w:p w:rsidR="009422FA" w:rsidRPr="009422FA" w:rsidRDefault="009422FA" w:rsidP="009422FA">
      <w:pPr>
        <w:pStyle w:val="ConsPlusNormal"/>
        <w:ind w:firstLine="709"/>
        <w:jc w:val="both"/>
        <w:rPr>
          <w:rFonts w:ascii="Times New Roman" w:hAnsi="Times New Roman" w:cs="Times New Roman"/>
          <w:color w:val="000000"/>
          <w:sz w:val="28"/>
          <w:szCs w:val="28"/>
        </w:rPr>
      </w:pPr>
      <w:r w:rsidRPr="00415177">
        <w:rPr>
          <w:rFonts w:ascii="Times New Roman" w:hAnsi="Times New Roman" w:cs="Times New Roman"/>
          <w:sz w:val="28"/>
          <w:szCs w:val="28"/>
        </w:rPr>
        <w:t>Ожидаемы</w:t>
      </w:r>
      <w:r>
        <w:rPr>
          <w:rFonts w:ascii="Times New Roman" w:hAnsi="Times New Roman" w:cs="Times New Roman"/>
          <w:sz w:val="28"/>
          <w:szCs w:val="28"/>
        </w:rPr>
        <w:t>й</w:t>
      </w:r>
      <w:r w:rsidRPr="00415177">
        <w:rPr>
          <w:rFonts w:ascii="Times New Roman" w:hAnsi="Times New Roman" w:cs="Times New Roman"/>
          <w:sz w:val="28"/>
          <w:szCs w:val="28"/>
        </w:rPr>
        <w:t xml:space="preserve"> результат реализации проекта</w:t>
      </w:r>
      <w:r>
        <w:rPr>
          <w:rFonts w:ascii="Times New Roman" w:hAnsi="Times New Roman" w:cs="Times New Roman"/>
          <w:sz w:val="28"/>
          <w:szCs w:val="28"/>
        </w:rPr>
        <w:t xml:space="preserve"> - у</w:t>
      </w:r>
      <w:r w:rsidRPr="009422FA">
        <w:rPr>
          <w:rFonts w:ascii="Times New Roman" w:hAnsi="Times New Roman" w:cs="Times New Roman"/>
          <w:color w:val="000000"/>
          <w:sz w:val="28"/>
          <w:szCs w:val="28"/>
        </w:rPr>
        <w:t>величение доли граждан, вовлеченных в управление МКД (самозанятых)</w:t>
      </w:r>
      <w:r>
        <w:rPr>
          <w:rFonts w:ascii="Times New Roman" w:hAnsi="Times New Roman" w:cs="Times New Roman"/>
          <w:color w:val="000000"/>
          <w:sz w:val="28"/>
          <w:szCs w:val="28"/>
        </w:rPr>
        <w:t>.</w:t>
      </w:r>
    </w:p>
    <w:p w:rsidR="00285AF9" w:rsidRPr="00285AF9" w:rsidRDefault="00285AF9" w:rsidP="00285AF9">
      <w:pPr>
        <w:pStyle w:val="ConsPlusNormal"/>
        <w:ind w:firstLine="709"/>
        <w:jc w:val="both"/>
        <w:rPr>
          <w:rFonts w:ascii="Times New Roman" w:hAnsi="Times New Roman" w:cs="Times New Roman"/>
          <w:sz w:val="28"/>
          <w:szCs w:val="28"/>
        </w:rPr>
      </w:pP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867266">
      <w:pPr>
        <w:spacing w:after="0"/>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867266">
      <w:pPr>
        <w:spacing w:after="0"/>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5D4D41">
      <w:pPr>
        <w:spacing w:after="0"/>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696972">
      <w:pPr>
        <w:spacing w:after="0"/>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w:t>
      </w:r>
      <w:r w:rsidRPr="00415177">
        <w:rPr>
          <w:rFonts w:ascii="Times New Roman" w:eastAsia="BatangChe" w:hAnsi="Times New Roman"/>
          <w:sz w:val="28"/>
          <w:szCs w:val="28"/>
        </w:rPr>
        <w:lastRenderedPageBreak/>
        <w:t xml:space="preserve">питьевой воды нецентрализованного водоснабжения в соответствие с установленными требованиями.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5D4D41">
      <w:pPr>
        <w:spacing w:after="0"/>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w:t>
      </w:r>
      <w:r w:rsidRPr="00415177">
        <w:rPr>
          <w:rFonts w:ascii="Times New Roman" w:hAnsi="Times New Roman" w:cs="Times New Roman"/>
          <w:sz w:val="28"/>
          <w:szCs w:val="28"/>
        </w:rPr>
        <w:lastRenderedPageBreak/>
        <w:t>компетенциями;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w:t>
      </w:r>
      <w:r w:rsidR="005F1C18" w:rsidRPr="00415177">
        <w:rPr>
          <w:rFonts w:ascii="Times New Roman" w:hAnsi="Times New Roman" w:cs="Times New Roman"/>
          <w:sz w:val="28"/>
          <w:szCs w:val="28"/>
        </w:rPr>
        <w:lastRenderedPageBreak/>
        <w:t>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применить новые кадровые технологии на муниципальной службе в </w:t>
      </w:r>
      <w:r w:rsidRPr="00415177">
        <w:rPr>
          <w:rFonts w:ascii="Times New Roman" w:hAnsi="Times New Roman" w:cs="Times New Roman"/>
          <w:sz w:val="28"/>
          <w:szCs w:val="28"/>
        </w:rPr>
        <w:lastRenderedPageBreak/>
        <w:t>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304"/>
        <w:gridCol w:w="1474"/>
        <w:gridCol w:w="1361"/>
        <w:gridCol w:w="1417"/>
      </w:tblGrid>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w:t>
      </w:r>
      <w:r w:rsidRPr="00415177">
        <w:rPr>
          <w:rFonts w:ascii="Times New Roman" w:hAnsi="Times New Roman" w:cs="Times New Roman"/>
          <w:sz w:val="28"/>
          <w:szCs w:val="28"/>
        </w:rPr>
        <w:lastRenderedPageBreak/>
        <w:t>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органы местного самоуправления Батецкого муниципального района  и подведомственные им </w:t>
      </w:r>
      <w:r w:rsidRPr="00415177">
        <w:rPr>
          <w:rFonts w:ascii="Times New Roman" w:hAnsi="Times New Roman" w:cs="Times New Roman"/>
          <w:sz w:val="28"/>
          <w:szCs w:val="28"/>
        </w:rPr>
        <w:lastRenderedPageBreak/>
        <w:t>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w:t>
      </w:r>
      <w:r w:rsidR="008C72BF" w:rsidRPr="00415177">
        <w:rPr>
          <w:rFonts w:ascii="Times New Roman" w:hAnsi="Times New Roman" w:cs="Times New Roman"/>
          <w:sz w:val="28"/>
          <w:szCs w:val="28"/>
        </w:rPr>
        <w:lastRenderedPageBreak/>
        <w:t>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 xml:space="preserve">Создание условий для развития добровольчества, поддержка </w:t>
      </w:r>
      <w:r w:rsidR="008C72BF" w:rsidRPr="00415177">
        <w:rPr>
          <w:rFonts w:ascii="Times New Roman" w:hAnsi="Times New Roman" w:cs="Times New Roman"/>
          <w:sz w:val="28"/>
          <w:szCs w:val="28"/>
        </w:rPr>
        <w:lastRenderedPageBreak/>
        <w:t>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1247"/>
        <w:gridCol w:w="1247"/>
        <w:gridCol w:w="1304"/>
        <w:gridCol w:w="1304"/>
      </w:tblGrid>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lastRenderedPageBreak/>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696972">
      <w:pPr>
        <w:spacing w:after="0"/>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масштабов последствий незаконного оборота наркотиков и других психоактивных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B774D0" w:rsidP="00BB1D98">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гражданского единства населения на базе общероссийских социокультурных ценностей;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w:t>
      </w:r>
      <w:r w:rsidRPr="00415177">
        <w:rPr>
          <w:rFonts w:ascii="Times New Roman" w:hAnsi="Times New Roman" w:cs="Times New Roman"/>
          <w:sz w:val="28"/>
          <w:szCs w:val="28"/>
        </w:rPr>
        <w:lastRenderedPageBreak/>
        <w:t>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xml:space="preserve">. Наибольшую потребность в работниках </w:t>
      </w:r>
      <w:r w:rsidRPr="00415177">
        <w:rPr>
          <w:rFonts w:ascii="Times New Roman" w:hAnsi="Times New Roman" w:cs="Times New Roman"/>
          <w:sz w:val="28"/>
          <w:szCs w:val="28"/>
        </w:rPr>
        <w:lastRenderedPageBreak/>
        <w:t>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w:t>
      </w:r>
      <w:r w:rsidR="00540773">
        <w:rPr>
          <w:rFonts w:ascii="Times New Roman" w:hAnsi="Times New Roman" w:cs="Times New Roman"/>
          <w:sz w:val="28"/>
          <w:szCs w:val="28"/>
        </w:rPr>
        <w:t>е</w:t>
      </w:r>
      <w:r w:rsidRPr="00415177">
        <w:rPr>
          <w:rFonts w:ascii="Times New Roman" w:hAnsi="Times New Roman" w:cs="Times New Roman"/>
          <w:sz w:val="28"/>
          <w:szCs w:val="28"/>
        </w:rPr>
        <w:t xml:space="preserve">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F2427E" w:rsidRDefault="00F2427E" w:rsidP="00F2427E">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F2427E">
        <w:rPr>
          <w:rFonts w:ascii="Times New Roman" w:hAnsi="Times New Roman" w:cs="Times New Roman"/>
          <w:color w:val="000000"/>
          <w:sz w:val="28"/>
          <w:szCs w:val="28"/>
        </w:rPr>
        <w:t xml:space="preserve"> условий для профессионального самоопределения обучающихся в соответствии с их личностными особенностями и требованиями инновационного развития экономики</w:t>
      </w:r>
      <w:r>
        <w:rPr>
          <w:rFonts w:ascii="Times New Roman" w:hAnsi="Times New Roman" w:cs="Times New Roman"/>
          <w:color w:val="000000"/>
          <w:sz w:val="28"/>
          <w:szCs w:val="28"/>
        </w:rPr>
        <w:t xml:space="preserve"> будет способствовать 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w:t>
      </w:r>
      <w:r w:rsidRPr="00F2427E">
        <w:rPr>
          <w:rFonts w:ascii="Times New Roman" w:hAnsi="Times New Roman" w:cs="Times New Roman"/>
          <w:bCs/>
          <w:color w:val="000000"/>
          <w:sz w:val="28"/>
          <w:szCs w:val="28"/>
        </w:rPr>
        <w:t>«Область возможностей.53 «КОД УСПЕХА»</w:t>
      </w:r>
      <w:r>
        <w:rPr>
          <w:rFonts w:ascii="Times New Roman" w:hAnsi="Times New Roman" w:cs="Times New Roman"/>
          <w:bCs/>
          <w:color w:val="000000"/>
          <w:sz w:val="28"/>
          <w:szCs w:val="28"/>
        </w:rPr>
        <w:t>.</w:t>
      </w:r>
      <w:r w:rsidRPr="00F2427E">
        <w:rPr>
          <w:rFonts w:ascii="Times New Roman" w:hAnsi="Times New Roman" w:cs="Times New Roman"/>
          <w:bCs/>
          <w:color w:val="000000"/>
          <w:sz w:val="28"/>
          <w:szCs w:val="28"/>
        </w:rPr>
        <w:t xml:space="preserve"> </w:t>
      </w:r>
    </w:p>
    <w:p w:rsidR="00F2427E" w:rsidRPr="00F2427E" w:rsidRDefault="00F2427E" w:rsidP="00F2427E">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bCs/>
          <w:color w:val="000000"/>
          <w:sz w:val="28"/>
          <w:szCs w:val="28"/>
        </w:rPr>
        <w:lastRenderedPageBreak/>
        <w:t xml:space="preserve">В рамках проекта предусматривается </w:t>
      </w:r>
      <w:r w:rsidRPr="00F2427E">
        <w:rPr>
          <w:rFonts w:ascii="Times New Roman" w:hAnsi="Times New Roman" w:cs="Times New Roman"/>
          <w:color w:val="000000"/>
          <w:sz w:val="28"/>
          <w:szCs w:val="28"/>
        </w:rPr>
        <w:t>использование современного инструментария</w:t>
      </w:r>
      <w:r>
        <w:rPr>
          <w:rFonts w:ascii="Times New Roman" w:hAnsi="Times New Roman" w:cs="Times New Roman"/>
          <w:color w:val="000000"/>
          <w:sz w:val="28"/>
          <w:szCs w:val="28"/>
        </w:rPr>
        <w:t xml:space="preserve"> – </w:t>
      </w:r>
      <w:r w:rsidRPr="00F2427E">
        <w:rPr>
          <w:rFonts w:ascii="Times New Roman" w:hAnsi="Times New Roman" w:cs="Times New Roman"/>
          <w:color w:val="000000"/>
          <w:sz w:val="28"/>
          <w:szCs w:val="28"/>
        </w:rPr>
        <w:t>практикоориентированный подход: проекты по «примерке» профессий, «поиск предназначения», «день тени», наставничество, встречи с успешными выпускниками «Назад в школу», встречи с предпринимателями, потенциальными работодателями и т. д.</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партисипаторного бюджетирования;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7018E1">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w:t>
      </w:r>
      <w:r w:rsidRPr="00415177">
        <w:rPr>
          <w:rFonts w:ascii="Times New Roman" w:hAnsi="Times New Roman" w:cs="Times New Roman"/>
          <w:sz w:val="28"/>
          <w:szCs w:val="28"/>
        </w:rPr>
        <w:lastRenderedPageBreak/>
        <w:t>позволят 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spacing w:before="220"/>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E05819">
          <w:headerReference w:type="even" r:id="rId15"/>
          <w:headerReference w:type="default" r:id="rId16"/>
          <w:pgSz w:w="11905" w:h="16838"/>
          <w:pgMar w:top="993" w:right="850" w:bottom="1134"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rPr>
          <w:rFonts w:ascii="Times New Roman" w:hAnsi="Times New Roman"/>
          <w:sz w:val="28"/>
          <w:szCs w:val="28"/>
        </w:rPr>
        <w:sectPr w:rsidR="005F1C18" w:rsidRPr="00415177" w:rsidSect="00BB1D98">
          <w:pgSz w:w="16838" w:h="11905" w:orient="landscape"/>
          <w:pgMar w:top="1701" w:right="993"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85"/>
        <w:gridCol w:w="907"/>
        <w:gridCol w:w="964"/>
        <w:gridCol w:w="907"/>
        <w:gridCol w:w="907"/>
        <w:gridCol w:w="975"/>
        <w:gridCol w:w="966"/>
        <w:gridCol w:w="907"/>
        <w:gridCol w:w="907"/>
        <w:gridCol w:w="850"/>
        <w:gridCol w:w="850"/>
      </w:tblGrid>
      <w:tr w:rsidR="005F1C18" w:rsidRPr="002E48C0" w:rsidTr="00FA30E3">
        <w:tc>
          <w:tcPr>
            <w:tcW w:w="620" w:type="dxa"/>
            <w:vAlign w:val="center"/>
          </w:tcPr>
          <w:p w:rsidR="005F1C18" w:rsidRPr="002E48C0" w:rsidRDefault="002E48C0">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w:t>
            </w:r>
            <w:r w:rsidR="005F1C18" w:rsidRPr="002E48C0">
              <w:rPr>
                <w:rFonts w:ascii="Times New Roman" w:hAnsi="Times New Roman" w:cs="Times New Roman"/>
                <w:sz w:val="28"/>
                <w:szCs w:val="28"/>
              </w:rPr>
              <w:t xml:space="preserve"> п/п</w:t>
            </w:r>
          </w:p>
        </w:tc>
        <w:tc>
          <w:tcPr>
            <w:tcW w:w="368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6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975"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966"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5D4D41">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96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975"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966"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850"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850"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964"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07" w:type="dxa"/>
            <w:vAlign w:val="center"/>
          </w:tcPr>
          <w:p w:rsidR="005F1C18" w:rsidRPr="002E48C0" w:rsidRDefault="00D1611B"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75" w:type="dxa"/>
            <w:vAlign w:val="center"/>
          </w:tcPr>
          <w:p w:rsidR="005F1C18" w:rsidRPr="002E48C0" w:rsidRDefault="005F1C18"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966"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3685" w:type="dxa"/>
            <w:vAlign w:val="center"/>
          </w:tcPr>
          <w:p w:rsidR="005F1C18" w:rsidRPr="002E48C0" w:rsidRDefault="00FA30E3" w:rsidP="00FA30E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w:t>
            </w:r>
            <w:r w:rsidRPr="002E48C0">
              <w:rPr>
                <w:rFonts w:ascii="Times New Roman" w:hAnsi="Times New Roman" w:cs="Times New Roman"/>
                <w:sz w:val="28"/>
                <w:szCs w:val="28"/>
              </w:rPr>
              <w:lastRenderedPageBreak/>
              <w:t>родившихся живыми на 1000 человек населения</w:t>
            </w:r>
            <w:r w:rsidR="005F1C18" w:rsidRPr="002E48C0">
              <w:rPr>
                <w:rFonts w:ascii="Times New Roman" w:hAnsi="Times New Roman" w:cs="Times New Roman"/>
                <w:sz w:val="28"/>
                <w:szCs w:val="28"/>
              </w:rPr>
              <w:t>)</w:t>
            </w:r>
          </w:p>
        </w:tc>
        <w:tc>
          <w:tcPr>
            <w:tcW w:w="907"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964"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07"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975"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966"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07" w:type="dxa"/>
            <w:vAlign w:val="center"/>
          </w:tcPr>
          <w:p w:rsidR="005F1C18" w:rsidRPr="002E48C0" w:rsidRDefault="00C57787" w:rsidP="00FA30E3">
            <w:pPr>
              <w:pStyle w:val="ConsPlusNormal"/>
              <w:spacing w:line="276" w:lineRule="auto"/>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A30E3">
            <w:pPr>
              <w:pStyle w:val="ConsPlusNormal"/>
              <w:jc w:val="center"/>
              <w:rPr>
                <w:rFonts w:ascii="Times New Roman" w:hAnsi="Times New Roman" w:cs="Times New Roman"/>
                <w:sz w:val="28"/>
                <w:szCs w:val="28"/>
              </w:rPr>
            </w:pPr>
          </w:p>
        </w:tc>
        <w:tc>
          <w:tcPr>
            <w:tcW w:w="850"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6</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96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975"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966"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3685" w:type="dxa"/>
            <w:vAlign w:val="center"/>
          </w:tcPr>
          <w:p w:rsidR="005F1C18" w:rsidRPr="002E48C0" w:rsidRDefault="00C95358">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07" w:type="dxa"/>
            <w:vAlign w:val="center"/>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96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975"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966"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FA30E3">
        <w:tc>
          <w:tcPr>
            <w:tcW w:w="620" w:type="dxa"/>
          </w:tcPr>
          <w:p w:rsidR="005F1C18" w:rsidRPr="002E48C0" w:rsidRDefault="005F1C18" w:rsidP="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907" w:type="dxa"/>
            <w:vAlign w:val="center"/>
          </w:tcPr>
          <w:p w:rsidR="005F1C18" w:rsidRPr="002E48C0" w:rsidRDefault="0065164B" w:rsidP="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907"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964"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975"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966"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(усл. ед.)</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975"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66"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D0" w:rsidRDefault="00B774D0" w:rsidP="0060021C">
      <w:pPr>
        <w:spacing w:after="0" w:line="240" w:lineRule="auto"/>
      </w:pPr>
      <w:r>
        <w:separator/>
      </w:r>
    </w:p>
  </w:endnote>
  <w:endnote w:type="continuationSeparator" w:id="0">
    <w:p w:rsidR="00B774D0" w:rsidRDefault="00B774D0" w:rsidP="0060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D0" w:rsidRDefault="00B774D0" w:rsidP="0060021C">
      <w:pPr>
        <w:spacing w:after="0" w:line="240" w:lineRule="auto"/>
      </w:pPr>
      <w:r>
        <w:separator/>
      </w:r>
    </w:p>
  </w:footnote>
  <w:footnote w:type="continuationSeparator" w:id="0">
    <w:p w:rsidR="00B774D0" w:rsidRDefault="00B774D0" w:rsidP="0060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E1" w:rsidRDefault="007018E1"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018E1" w:rsidRDefault="007018E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E1" w:rsidRDefault="007018E1" w:rsidP="00340287">
    <w:pPr>
      <w:pStyle w:val="af"/>
      <w:jc w:val="center"/>
    </w:pPr>
    <w:r>
      <w:rPr>
        <w:rStyle w:val="af1"/>
      </w:rPr>
      <w:fldChar w:fldCharType="begin"/>
    </w:r>
    <w:r>
      <w:rPr>
        <w:rStyle w:val="af1"/>
      </w:rPr>
      <w:instrText xml:space="preserve"> PAGE </w:instrText>
    </w:r>
    <w:r>
      <w:rPr>
        <w:rStyle w:val="af1"/>
      </w:rPr>
      <w:fldChar w:fldCharType="separate"/>
    </w:r>
    <w:r w:rsidR="00571899">
      <w:rPr>
        <w:rStyle w:val="af1"/>
        <w:noProof/>
      </w:rPr>
      <w:t>1</w:t>
    </w:r>
    <w:r>
      <w:rPr>
        <w:rStyle w:val="af1"/>
      </w:rPr>
      <w:fldChar w:fldCharType="end"/>
    </w:r>
  </w:p>
  <w:p w:rsidR="007018E1" w:rsidRDefault="007018E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5A80"/>
    <w:rsid w:val="0010631E"/>
    <w:rsid w:val="001111F2"/>
    <w:rsid w:val="0011331C"/>
    <w:rsid w:val="001138F2"/>
    <w:rsid w:val="00116A8F"/>
    <w:rsid w:val="001209BD"/>
    <w:rsid w:val="00121C84"/>
    <w:rsid w:val="0012445E"/>
    <w:rsid w:val="00125C36"/>
    <w:rsid w:val="00132BAB"/>
    <w:rsid w:val="00134E23"/>
    <w:rsid w:val="00140D92"/>
    <w:rsid w:val="00143445"/>
    <w:rsid w:val="0014454A"/>
    <w:rsid w:val="00146F6C"/>
    <w:rsid w:val="00152C3F"/>
    <w:rsid w:val="001574C9"/>
    <w:rsid w:val="00157A0D"/>
    <w:rsid w:val="001722BE"/>
    <w:rsid w:val="00172904"/>
    <w:rsid w:val="001774A5"/>
    <w:rsid w:val="001860B5"/>
    <w:rsid w:val="001933C8"/>
    <w:rsid w:val="001941E6"/>
    <w:rsid w:val="001A4AF1"/>
    <w:rsid w:val="001B0757"/>
    <w:rsid w:val="001B2BF9"/>
    <w:rsid w:val="001B76B8"/>
    <w:rsid w:val="001E355D"/>
    <w:rsid w:val="001E6341"/>
    <w:rsid w:val="001E75CA"/>
    <w:rsid w:val="002110EF"/>
    <w:rsid w:val="00252DE2"/>
    <w:rsid w:val="00254980"/>
    <w:rsid w:val="00271BD4"/>
    <w:rsid w:val="00274075"/>
    <w:rsid w:val="002752E6"/>
    <w:rsid w:val="002809ED"/>
    <w:rsid w:val="00280DB2"/>
    <w:rsid w:val="00285AF9"/>
    <w:rsid w:val="002949E2"/>
    <w:rsid w:val="002B42CC"/>
    <w:rsid w:val="002B4607"/>
    <w:rsid w:val="002B4795"/>
    <w:rsid w:val="002B553E"/>
    <w:rsid w:val="002B56DC"/>
    <w:rsid w:val="002C66E2"/>
    <w:rsid w:val="002D580F"/>
    <w:rsid w:val="002E48C0"/>
    <w:rsid w:val="002E684E"/>
    <w:rsid w:val="003011FA"/>
    <w:rsid w:val="003030E3"/>
    <w:rsid w:val="00321D16"/>
    <w:rsid w:val="0032281F"/>
    <w:rsid w:val="0033464D"/>
    <w:rsid w:val="00336D3A"/>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5BF6"/>
    <w:rsid w:val="00407A2F"/>
    <w:rsid w:val="00407DBB"/>
    <w:rsid w:val="00415177"/>
    <w:rsid w:val="00427FCE"/>
    <w:rsid w:val="0044471B"/>
    <w:rsid w:val="00454260"/>
    <w:rsid w:val="004575A5"/>
    <w:rsid w:val="00474AA4"/>
    <w:rsid w:val="00484ECD"/>
    <w:rsid w:val="00487970"/>
    <w:rsid w:val="00490DCF"/>
    <w:rsid w:val="0049327E"/>
    <w:rsid w:val="004B0EE4"/>
    <w:rsid w:val="004B43F4"/>
    <w:rsid w:val="004C44BD"/>
    <w:rsid w:val="004E5DFB"/>
    <w:rsid w:val="004F2893"/>
    <w:rsid w:val="00520758"/>
    <w:rsid w:val="005310F6"/>
    <w:rsid w:val="00540773"/>
    <w:rsid w:val="00543932"/>
    <w:rsid w:val="005506D1"/>
    <w:rsid w:val="00564557"/>
    <w:rsid w:val="00571899"/>
    <w:rsid w:val="005806D6"/>
    <w:rsid w:val="005857BD"/>
    <w:rsid w:val="0059174C"/>
    <w:rsid w:val="00592221"/>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2547B"/>
    <w:rsid w:val="006336EA"/>
    <w:rsid w:val="00634B77"/>
    <w:rsid w:val="006372F3"/>
    <w:rsid w:val="006479F0"/>
    <w:rsid w:val="0065164B"/>
    <w:rsid w:val="006538AF"/>
    <w:rsid w:val="006640A9"/>
    <w:rsid w:val="006640D1"/>
    <w:rsid w:val="006730CA"/>
    <w:rsid w:val="00675EA4"/>
    <w:rsid w:val="00677760"/>
    <w:rsid w:val="0068745D"/>
    <w:rsid w:val="0069098B"/>
    <w:rsid w:val="006952C6"/>
    <w:rsid w:val="00696972"/>
    <w:rsid w:val="006A6EF3"/>
    <w:rsid w:val="006B004A"/>
    <w:rsid w:val="006C426F"/>
    <w:rsid w:val="006E0DDB"/>
    <w:rsid w:val="006E5A42"/>
    <w:rsid w:val="006F1549"/>
    <w:rsid w:val="007018E1"/>
    <w:rsid w:val="00734298"/>
    <w:rsid w:val="007569FB"/>
    <w:rsid w:val="00757D74"/>
    <w:rsid w:val="0076668F"/>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E3452"/>
    <w:rsid w:val="008F3AAE"/>
    <w:rsid w:val="008F566E"/>
    <w:rsid w:val="008F7368"/>
    <w:rsid w:val="00905219"/>
    <w:rsid w:val="009118CA"/>
    <w:rsid w:val="00914121"/>
    <w:rsid w:val="009203B9"/>
    <w:rsid w:val="009279E0"/>
    <w:rsid w:val="009360F5"/>
    <w:rsid w:val="009422FA"/>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433E"/>
    <w:rsid w:val="00A47C33"/>
    <w:rsid w:val="00A52EA8"/>
    <w:rsid w:val="00A573C2"/>
    <w:rsid w:val="00A6424B"/>
    <w:rsid w:val="00A666D5"/>
    <w:rsid w:val="00A7253E"/>
    <w:rsid w:val="00A75F76"/>
    <w:rsid w:val="00A94D31"/>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315DA"/>
    <w:rsid w:val="00B439B6"/>
    <w:rsid w:val="00B43E85"/>
    <w:rsid w:val="00B774D0"/>
    <w:rsid w:val="00B814D9"/>
    <w:rsid w:val="00B95829"/>
    <w:rsid w:val="00B96D7E"/>
    <w:rsid w:val="00BB1D98"/>
    <w:rsid w:val="00BC4A16"/>
    <w:rsid w:val="00BE367F"/>
    <w:rsid w:val="00BE439D"/>
    <w:rsid w:val="00BE611E"/>
    <w:rsid w:val="00C1346A"/>
    <w:rsid w:val="00C13FB1"/>
    <w:rsid w:val="00C15A03"/>
    <w:rsid w:val="00C20AB3"/>
    <w:rsid w:val="00C31AED"/>
    <w:rsid w:val="00C50569"/>
    <w:rsid w:val="00C57787"/>
    <w:rsid w:val="00C705AA"/>
    <w:rsid w:val="00C71E8A"/>
    <w:rsid w:val="00C740DA"/>
    <w:rsid w:val="00C75896"/>
    <w:rsid w:val="00C7632B"/>
    <w:rsid w:val="00C80FA0"/>
    <w:rsid w:val="00C828FD"/>
    <w:rsid w:val="00C9207A"/>
    <w:rsid w:val="00C92789"/>
    <w:rsid w:val="00C9343E"/>
    <w:rsid w:val="00C95358"/>
    <w:rsid w:val="00C96689"/>
    <w:rsid w:val="00CC038D"/>
    <w:rsid w:val="00CC4686"/>
    <w:rsid w:val="00CD0431"/>
    <w:rsid w:val="00CD1F17"/>
    <w:rsid w:val="00CE3340"/>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2427E"/>
    <w:rsid w:val="00F36B3A"/>
    <w:rsid w:val="00F4009C"/>
    <w:rsid w:val="00F42AC5"/>
    <w:rsid w:val="00F6511F"/>
    <w:rsid w:val="00F778D6"/>
    <w:rsid w:val="00F82777"/>
    <w:rsid w:val="00F87B44"/>
    <w:rsid w:val="00F87DD5"/>
    <w:rsid w:val="00F97243"/>
    <w:rsid w:val="00FA1213"/>
    <w:rsid w:val="00FA30E3"/>
    <w:rsid w:val="00FB1811"/>
    <w:rsid w:val="00FB3399"/>
    <w:rsid w:val="00FB679A"/>
    <w:rsid w:val="00FC106D"/>
    <w:rsid w:val="00FC2CB0"/>
    <w:rsid w:val="00FD05A7"/>
    <w:rsid w:val="00FD1667"/>
    <w:rsid w:val="00FE2ED0"/>
    <w:rsid w:val="00FF0528"/>
    <w:rsid w:val="00FF1B13"/>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8E048F-8940-456E-8208-787CEA69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uiPriority w:val="99"/>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paragraph" w:styleId="21">
    <w:name w:val="Body Text Indent 2"/>
    <w:basedOn w:val="a"/>
    <w:link w:val="22"/>
    <w:unhideWhenUsed/>
    <w:rsid w:val="008E3452"/>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8E3452"/>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rgbClr val="FF0000"/>
              </a:solidFill>
            </a:ln>
          </c:spPr>
          <c:marker>
            <c:symbol val="none"/>
          </c:marker>
          <c:dPt>
            <c:idx val="0"/>
            <c:bubble3D val="0"/>
            <c:spPr>
              <a:ln w="66675">
                <a:solidFill>
                  <a:srgbClr val="FF0000"/>
                </a:solidFill>
              </a:ln>
            </c:spPr>
            <c:extLst>
              <c:ext xmlns:c16="http://schemas.microsoft.com/office/drawing/2014/chart" uri="{C3380CC4-5D6E-409C-BE32-E72D297353CC}">
                <c16:uniqueId val="{00000000-40BF-4E3B-B234-F67CCD2CED74}"/>
              </c:ext>
            </c:extLst>
          </c:dPt>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mooth val="0"/>
          <c:extLst>
            <c:ext xmlns:c16="http://schemas.microsoft.com/office/drawing/2014/chart" uri="{C3380CC4-5D6E-409C-BE32-E72D297353CC}">
              <c16:uniqueId val="{00000001-40BF-4E3B-B234-F67CCD2CED74}"/>
            </c:ext>
          </c:extLst>
        </c:ser>
        <c:dLbls>
          <c:showLegendKey val="0"/>
          <c:showVal val="0"/>
          <c:showCatName val="0"/>
          <c:showSerName val="0"/>
          <c:showPercent val="0"/>
          <c:showBubbleSize val="0"/>
        </c:dLbls>
        <c:smooth val="0"/>
        <c:axId val="181277440"/>
        <c:axId val="181278976"/>
      </c:lineChart>
      <c:catAx>
        <c:axId val="181277440"/>
        <c:scaling>
          <c:orientation val="minMax"/>
        </c:scaling>
        <c:delete val="0"/>
        <c:axPos val="b"/>
        <c:numFmt formatCode="General" sourceLinked="1"/>
        <c:majorTickMark val="out"/>
        <c:minorTickMark val="none"/>
        <c:tickLblPos val="nextTo"/>
        <c:txPr>
          <a:bodyPr/>
          <a:lstStyle/>
          <a:p>
            <a:pPr>
              <a:defRPr b="1"/>
            </a:pPr>
            <a:endParaRPr lang="ru-RU"/>
          </a:p>
        </c:txPr>
        <c:crossAx val="181278976"/>
        <c:crosses val="autoZero"/>
        <c:auto val="1"/>
        <c:lblAlgn val="ctr"/>
        <c:lblOffset val="100"/>
        <c:noMultiLvlLbl val="0"/>
      </c:catAx>
      <c:valAx>
        <c:axId val="181278976"/>
        <c:scaling>
          <c:orientation val="minMax"/>
          <c:min val="100"/>
        </c:scaling>
        <c:delete val="0"/>
        <c:axPos val="l"/>
        <c:majorGridlines/>
        <c:numFmt formatCode="General" sourceLinked="1"/>
        <c:majorTickMark val="out"/>
        <c:minorTickMark val="none"/>
        <c:tickLblPos val="nextTo"/>
        <c:txPr>
          <a:bodyPr/>
          <a:lstStyle/>
          <a:p>
            <a:pPr>
              <a:defRPr b="1"/>
            </a:pPr>
            <a:endParaRPr lang="ru-RU"/>
          </a:p>
        </c:txPr>
        <c:crossAx val="181277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mooth val="0"/>
          <c:extLst>
            <c:ext xmlns:c16="http://schemas.microsoft.com/office/drawing/2014/chart" uri="{C3380CC4-5D6E-409C-BE32-E72D297353CC}">
              <c16:uniqueId val="{00000000-CC30-4FD1-A1B2-9FC1DA3FD92E}"/>
            </c:ext>
          </c:extLst>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mooth val="0"/>
          <c:extLst>
            <c:ext xmlns:c16="http://schemas.microsoft.com/office/drawing/2014/chart" uri="{C3380CC4-5D6E-409C-BE32-E72D297353CC}">
              <c16:uniqueId val="{00000001-CC30-4FD1-A1B2-9FC1DA3FD92E}"/>
            </c:ext>
          </c:extLst>
        </c:ser>
        <c:dLbls>
          <c:showLegendKey val="0"/>
          <c:showVal val="0"/>
          <c:showCatName val="0"/>
          <c:showSerName val="0"/>
          <c:showPercent val="0"/>
          <c:showBubbleSize val="0"/>
        </c:dLbls>
        <c:smooth val="0"/>
        <c:axId val="231153664"/>
        <c:axId val="231155200"/>
      </c:lineChart>
      <c:catAx>
        <c:axId val="231153664"/>
        <c:scaling>
          <c:orientation val="minMax"/>
        </c:scaling>
        <c:delete val="0"/>
        <c:axPos val="b"/>
        <c:numFmt formatCode="General" sourceLinked="1"/>
        <c:majorTickMark val="out"/>
        <c:minorTickMark val="none"/>
        <c:tickLblPos val="nextTo"/>
        <c:txPr>
          <a:bodyPr/>
          <a:lstStyle/>
          <a:p>
            <a:pPr>
              <a:defRPr b="1"/>
            </a:pPr>
            <a:endParaRPr lang="ru-RU"/>
          </a:p>
        </c:txPr>
        <c:crossAx val="231155200"/>
        <c:crosses val="autoZero"/>
        <c:auto val="1"/>
        <c:lblAlgn val="ctr"/>
        <c:lblOffset val="100"/>
        <c:noMultiLvlLbl val="0"/>
      </c:catAx>
      <c:valAx>
        <c:axId val="231155200"/>
        <c:scaling>
          <c:orientation val="minMax"/>
          <c:min val="5"/>
        </c:scaling>
        <c:delete val="0"/>
        <c:axPos val="l"/>
        <c:majorGridlines/>
        <c:numFmt formatCode="General" sourceLinked="1"/>
        <c:majorTickMark val="out"/>
        <c:minorTickMark val="none"/>
        <c:tickLblPos val="nextTo"/>
        <c:txPr>
          <a:bodyPr/>
          <a:lstStyle/>
          <a:p>
            <a:pPr>
              <a:defRPr b="1"/>
            </a:pPr>
            <a:endParaRPr lang="ru-RU"/>
          </a:p>
        </c:txPr>
        <c:crossAx val="231153664"/>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B8A7-9E4E-4AE9-A94F-1465B65B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21304</Words>
  <Characters>121433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HappyFru</cp:lastModifiedBy>
  <cp:revision>2</cp:revision>
  <cp:lastPrinted>2019-11-14T11:22:00Z</cp:lastPrinted>
  <dcterms:created xsi:type="dcterms:W3CDTF">2019-12-16T10:03:00Z</dcterms:created>
  <dcterms:modified xsi:type="dcterms:W3CDTF">2019-12-16T10:03:00Z</dcterms:modified>
</cp:coreProperties>
</file>