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5E" w:rsidRP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11C5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4C11C5">
        <w:rPr>
          <w:rFonts w:ascii="Times New Roman" w:hAnsi="Times New Roman" w:cs="Times New Roman"/>
          <w:b/>
          <w:sz w:val="28"/>
        </w:rPr>
        <w:t xml:space="preserve">А К Т </w:t>
      </w:r>
    </w:p>
    <w:p w:rsidR="004C11C5" w:rsidRP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C11C5" w:rsidRP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C11C5">
        <w:rPr>
          <w:rFonts w:ascii="Times New Roman" w:hAnsi="Times New Roman" w:cs="Times New Roman"/>
          <w:sz w:val="28"/>
        </w:rPr>
        <w:t xml:space="preserve">п. Батецкий                                                  </w:t>
      </w:r>
      <w:r w:rsidR="001E20B5">
        <w:rPr>
          <w:rFonts w:ascii="Times New Roman" w:hAnsi="Times New Roman" w:cs="Times New Roman"/>
          <w:sz w:val="28"/>
        </w:rPr>
        <w:t>от</w:t>
      </w:r>
      <w:r w:rsidRPr="004C11C5">
        <w:rPr>
          <w:rFonts w:ascii="Times New Roman" w:hAnsi="Times New Roman" w:cs="Times New Roman"/>
          <w:sz w:val="28"/>
        </w:rPr>
        <w:t xml:space="preserve">   </w:t>
      </w:r>
      <w:r w:rsidR="001E20B5">
        <w:rPr>
          <w:rFonts w:ascii="Times New Roman" w:hAnsi="Times New Roman" w:cs="Times New Roman"/>
          <w:sz w:val="28"/>
        </w:rPr>
        <w:t>2 сентябр</w:t>
      </w:r>
      <w:r w:rsidR="005341A8">
        <w:rPr>
          <w:rFonts w:ascii="Times New Roman" w:hAnsi="Times New Roman" w:cs="Times New Roman"/>
          <w:sz w:val="28"/>
        </w:rPr>
        <w:t xml:space="preserve">я </w:t>
      </w:r>
      <w:r w:rsidRPr="004C11C5">
        <w:rPr>
          <w:rFonts w:ascii="Times New Roman" w:hAnsi="Times New Roman" w:cs="Times New Roman"/>
          <w:sz w:val="28"/>
        </w:rPr>
        <w:t xml:space="preserve"> 2017 года  </w:t>
      </w:r>
    </w:p>
    <w:p w:rsidR="004C11C5" w:rsidRP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C11C5" w:rsidRP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C11C5">
        <w:rPr>
          <w:rFonts w:ascii="Times New Roman" w:hAnsi="Times New Roman" w:cs="Times New Roman"/>
          <w:sz w:val="28"/>
        </w:rPr>
        <w:t xml:space="preserve"> На основании приказа   Контрольно-счетной палаты Батецкого муниципального района  № 8 от  20.07.2017   контрольно</w:t>
      </w:r>
      <w:r w:rsidRPr="004C11C5">
        <w:rPr>
          <w:rFonts w:ascii="Times New Roman" w:hAnsi="Times New Roman" w:cs="Times New Roman"/>
          <w:sz w:val="28"/>
        </w:rPr>
        <w:tab/>
        <w:t xml:space="preserve"> группой в составе  председателя Контрольно-счетной палаты  Тонковой Е.А.  проведено контрольное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4C11C5">
        <w:rPr>
          <w:rFonts w:ascii="Times New Roman" w:hAnsi="Times New Roman" w:cs="Times New Roman"/>
          <w:sz w:val="28"/>
        </w:rPr>
        <w:t xml:space="preserve"> мероприятие   </w:t>
      </w:r>
      <w:r>
        <w:rPr>
          <w:rFonts w:ascii="Times New Roman" w:hAnsi="Times New Roman" w:cs="Times New Roman"/>
          <w:sz w:val="28"/>
        </w:rPr>
        <w:t xml:space="preserve"> «Проверка эффективности расходования   муниципальными учреждениями бюджетных средств на оплату жилищно-коммунальных услуг, а также    на  мероприятия в   области энергосбережения и энергетической эффективности», согласно утвержденной программе  контрольного мероприятия.</w:t>
      </w:r>
    </w:p>
    <w:p w:rsidR="004C11C5" w:rsidRDefault="004C11C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Проверяемый период СС «01»  января 2014 года   по </w:t>
      </w:r>
      <w:r w:rsidR="009B434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31</w:t>
      </w:r>
      <w:r w:rsidR="009B434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декабр</w:t>
      </w:r>
      <w:r w:rsidR="009B4343">
        <w:rPr>
          <w:rFonts w:ascii="Times New Roman" w:hAnsi="Times New Roman" w:cs="Times New Roman"/>
          <w:sz w:val="28"/>
        </w:rPr>
        <w:t>я  2016 года и  истекший период 2017 года.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контрольного мероприятия  установлено следующее:</w:t>
      </w:r>
    </w:p>
    <w:p w:rsidR="00014231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 xml:space="preserve">  Объект  контроля  - Муниципальное бюджетное  учреждение культуры  « Батецкий  </w:t>
      </w:r>
      <w:proofErr w:type="spellStart"/>
      <w:r w:rsidRPr="00111E7C">
        <w:rPr>
          <w:rFonts w:ascii="Times New Roman" w:hAnsi="Times New Roman" w:cs="Times New Roman"/>
          <w:b/>
          <w:sz w:val="28"/>
        </w:rPr>
        <w:t>межпоселенческий</w:t>
      </w:r>
      <w:proofErr w:type="spellEnd"/>
      <w:r w:rsidRPr="00111E7C">
        <w:rPr>
          <w:rFonts w:ascii="Times New Roman" w:hAnsi="Times New Roman" w:cs="Times New Roman"/>
          <w:b/>
          <w:sz w:val="28"/>
        </w:rPr>
        <w:t xml:space="preserve"> центр  культуры и досуга</w:t>
      </w:r>
      <w:r>
        <w:rPr>
          <w:rFonts w:ascii="Times New Roman" w:hAnsi="Times New Roman" w:cs="Times New Roman"/>
          <w:sz w:val="28"/>
        </w:rPr>
        <w:t xml:space="preserve"> « , сокращенное название    </w:t>
      </w:r>
      <w:r w:rsidR="00014231">
        <w:rPr>
          <w:rFonts w:ascii="Times New Roman" w:hAnsi="Times New Roman" w:cs="Times New Roman"/>
          <w:sz w:val="28"/>
        </w:rPr>
        <w:t>МБУК  «Батецкий МЦК и</w:t>
      </w:r>
      <w:proofErr w:type="gramStart"/>
      <w:r w:rsidR="00014231">
        <w:rPr>
          <w:rFonts w:ascii="Times New Roman" w:hAnsi="Times New Roman" w:cs="Times New Roman"/>
          <w:sz w:val="28"/>
        </w:rPr>
        <w:t xml:space="preserve"> Д</w:t>
      </w:r>
      <w:proofErr w:type="gramEnd"/>
      <w:r w:rsidR="00014231">
        <w:rPr>
          <w:rFonts w:ascii="Times New Roman" w:hAnsi="Times New Roman" w:cs="Times New Roman"/>
          <w:sz w:val="28"/>
        </w:rPr>
        <w:t>»</w:t>
      </w:r>
    </w:p>
    <w:p w:rsidR="004C11C5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Инн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5301002635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ОГРН</w:t>
      </w:r>
      <w:r w:rsidR="00111E7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1025301387605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  дата регистрации  04  июня  1998 года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Юридический адрес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175000  п.  Батецкий  ул. Советская д.4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Фактический адрес</w:t>
      </w:r>
      <w:r>
        <w:rPr>
          <w:rFonts w:ascii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</w:rPr>
        <w:t>там-же</w:t>
      </w:r>
      <w:proofErr w:type="spellEnd"/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Контактные телефоны</w:t>
      </w:r>
      <w:r>
        <w:rPr>
          <w:rFonts w:ascii="Times New Roman" w:hAnsi="Times New Roman" w:cs="Times New Roman"/>
          <w:sz w:val="28"/>
        </w:rPr>
        <w:t>:  бухгалтерия – 88166122292,  88166122179 – директор.</w:t>
      </w:r>
    </w:p>
    <w:p w:rsidR="009B4343" w:rsidRDefault="009B434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Организационно-правовая форма  объекта контроля</w:t>
      </w:r>
      <w:r>
        <w:rPr>
          <w:rFonts w:ascii="Times New Roman" w:hAnsi="Times New Roman" w:cs="Times New Roman"/>
          <w:sz w:val="28"/>
        </w:rPr>
        <w:t xml:space="preserve"> -  бюдже</w:t>
      </w:r>
      <w:r w:rsidR="00111E7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ное</w:t>
      </w:r>
      <w:r w:rsidR="00111E7C">
        <w:rPr>
          <w:rFonts w:ascii="Times New Roman" w:hAnsi="Times New Roman" w:cs="Times New Roman"/>
          <w:sz w:val="28"/>
        </w:rPr>
        <w:t xml:space="preserve">   учреждение;</w:t>
      </w:r>
    </w:p>
    <w:p w:rsidR="00111E7C" w:rsidRDefault="00111E7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Форма собственности</w:t>
      </w:r>
      <w:r>
        <w:rPr>
          <w:rFonts w:ascii="Times New Roman" w:hAnsi="Times New Roman" w:cs="Times New Roman"/>
          <w:sz w:val="28"/>
        </w:rPr>
        <w:t xml:space="preserve">      муниципальная собственность</w:t>
      </w:r>
    </w:p>
    <w:p w:rsidR="00111E7C" w:rsidRDefault="00111E7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Сведения об учредителях</w:t>
      </w:r>
      <w:r>
        <w:rPr>
          <w:rFonts w:ascii="Times New Roman" w:hAnsi="Times New Roman" w:cs="Times New Roman"/>
          <w:sz w:val="28"/>
        </w:rPr>
        <w:t xml:space="preserve">    Батецкий муниципальный район  в лице Администрации Батецкого муниципального района</w:t>
      </w:r>
    </w:p>
    <w:p w:rsidR="00111E7C" w:rsidRDefault="00111E7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Наименование  вышестоящей организации</w:t>
      </w:r>
      <w:r>
        <w:rPr>
          <w:rFonts w:ascii="Times New Roman" w:hAnsi="Times New Roman" w:cs="Times New Roman"/>
          <w:sz w:val="28"/>
        </w:rPr>
        <w:t xml:space="preserve">      Комитет  культуры, кино и туризма  Администрации  Батецкого муниципального  района</w:t>
      </w:r>
    </w:p>
    <w:p w:rsidR="00111E7C" w:rsidRDefault="00111E7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1E7C">
        <w:rPr>
          <w:rFonts w:ascii="Times New Roman" w:hAnsi="Times New Roman" w:cs="Times New Roman"/>
          <w:b/>
          <w:sz w:val="28"/>
        </w:rPr>
        <w:t>Открыто  два лицевых счета   в  УФК  по Новгородской области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20506Ч77120  и   21506Ч77120</w:t>
      </w:r>
    </w:p>
    <w:p w:rsidR="004B0C42" w:rsidRDefault="00111E7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проверяемом периоде  обязанности руководителя выполнялись   директором  </w:t>
      </w:r>
      <w:proofErr w:type="spellStart"/>
      <w:r>
        <w:rPr>
          <w:rFonts w:ascii="Times New Roman" w:hAnsi="Times New Roman" w:cs="Times New Roman"/>
          <w:sz w:val="28"/>
        </w:rPr>
        <w:t>Груздаковой</w:t>
      </w:r>
      <w:proofErr w:type="spellEnd"/>
      <w:r>
        <w:rPr>
          <w:rFonts w:ascii="Times New Roman" w:hAnsi="Times New Roman" w:cs="Times New Roman"/>
          <w:sz w:val="28"/>
        </w:rPr>
        <w:t xml:space="preserve"> Ольгой Александровной;   главный бухгалтер    </w:t>
      </w:r>
      <w:proofErr w:type="spellStart"/>
      <w:r>
        <w:rPr>
          <w:rFonts w:ascii="Times New Roman" w:hAnsi="Times New Roman" w:cs="Times New Roman"/>
          <w:sz w:val="28"/>
        </w:rPr>
        <w:t>Мухатанова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Танзиля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Шамсутдиновна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11E7C" w:rsidRDefault="004B0C42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Контрольных мероприятий в отношении объекта контроля  ранее не проводилось.</w:t>
      </w:r>
    </w:p>
    <w:p w:rsidR="004B0C42" w:rsidRDefault="004B0C42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268B" w:rsidRDefault="004B0C42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4B0C42">
        <w:rPr>
          <w:rFonts w:ascii="Times New Roman" w:hAnsi="Times New Roman" w:cs="Times New Roman"/>
          <w:b/>
          <w:sz w:val="28"/>
          <w:szCs w:val="28"/>
        </w:rPr>
        <w:t xml:space="preserve">Анализ нормативных правовых актов и иных документов, устанавливающих  основания предоставления  и расходования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бюджета  на мероприятия в области энергосбережения и энергетической эффективности </w:t>
      </w:r>
    </w:p>
    <w:p w:rsidR="002109BA" w:rsidRDefault="00A8268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1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68B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4B0C42" w:rsidRPr="00A826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по энергосбережению и повышению  энергетической  эффективности  регулируются Федеральным законом  от 23 ноября 2009 года  № 261-ФЗ  « Об энергосбережении и о повышении энергетической эффективности  и о внесении изменений в отдельные законодательные акты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Федеральный закон  №  216-ФЗ), который  реализуется через комплекс мер  организационного, правового, технического, технологического, экономического характера  и направлен на уменьшение  объема используемых </w:t>
      </w:r>
      <w:r w:rsidR="001F278E">
        <w:rPr>
          <w:rFonts w:ascii="Times New Roman" w:hAnsi="Times New Roman" w:cs="Times New Roman"/>
          <w:sz w:val="28"/>
          <w:szCs w:val="28"/>
        </w:rPr>
        <w:t xml:space="preserve"> энергетических  ресурсов пр</w:t>
      </w:r>
      <w:r w:rsidR="002109BA">
        <w:rPr>
          <w:rFonts w:ascii="Times New Roman" w:hAnsi="Times New Roman" w:cs="Times New Roman"/>
          <w:sz w:val="28"/>
          <w:szCs w:val="28"/>
        </w:rPr>
        <w:t>и</w:t>
      </w:r>
      <w:r w:rsidR="001F278E">
        <w:rPr>
          <w:rFonts w:ascii="Times New Roman" w:hAnsi="Times New Roman" w:cs="Times New Roman"/>
          <w:sz w:val="28"/>
          <w:szCs w:val="28"/>
        </w:rPr>
        <w:t xml:space="preserve"> сохранении  соответствующего</w:t>
      </w:r>
      <w:r w:rsidR="002109BA">
        <w:rPr>
          <w:rFonts w:ascii="Times New Roman" w:hAnsi="Times New Roman" w:cs="Times New Roman"/>
          <w:sz w:val="28"/>
          <w:szCs w:val="28"/>
        </w:rPr>
        <w:t xml:space="preserve"> полезного эффекта от их использования.</w:t>
      </w:r>
    </w:p>
    <w:p w:rsidR="00366523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9BA">
        <w:rPr>
          <w:rFonts w:ascii="Times New Roman" w:hAnsi="Times New Roman" w:cs="Times New Roman"/>
          <w:sz w:val="28"/>
          <w:szCs w:val="28"/>
        </w:rPr>
        <w:t xml:space="preserve">Правовое   регулирование  в области </w:t>
      </w:r>
      <w:r w:rsidR="006E2034">
        <w:rPr>
          <w:rFonts w:ascii="Times New Roman" w:hAnsi="Times New Roman" w:cs="Times New Roman"/>
          <w:sz w:val="28"/>
          <w:szCs w:val="28"/>
        </w:rPr>
        <w:t xml:space="preserve">энергосбережения </w:t>
      </w:r>
      <w:r w:rsidR="001F278E">
        <w:rPr>
          <w:rFonts w:ascii="Times New Roman" w:hAnsi="Times New Roman" w:cs="Times New Roman"/>
          <w:sz w:val="28"/>
          <w:szCs w:val="28"/>
        </w:rPr>
        <w:t xml:space="preserve"> </w:t>
      </w:r>
      <w:r w:rsidR="00366523">
        <w:rPr>
          <w:rFonts w:ascii="Times New Roman" w:hAnsi="Times New Roman" w:cs="Times New Roman"/>
          <w:sz w:val="28"/>
          <w:szCs w:val="28"/>
        </w:rPr>
        <w:t>и  повышения энергетической эффективности  основывается на следующих принципах</w:t>
      </w:r>
      <w:proofErr w:type="gramStart"/>
      <w:r w:rsidR="003665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6523">
        <w:rPr>
          <w:rFonts w:ascii="Times New Roman" w:hAnsi="Times New Roman" w:cs="Times New Roman"/>
          <w:sz w:val="28"/>
          <w:szCs w:val="28"/>
        </w:rPr>
        <w:t xml:space="preserve"> эффективное и рациональное использование   энергетических ресурсов,  поддержка и стимулирование энергосбережения и повышении энергетической эффективности;  системность  и комплексность проведения  мероприятий по энергосбережению  и повышению  энергетической  эффективности; планирование энергосбережения  и повышения энергетической эффективности; использование энергетических ресурсов  с учетом ресурсных производственно- технологических, экологических и социальных условий.</w:t>
      </w:r>
    </w:p>
    <w:p w:rsidR="00366523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523">
        <w:rPr>
          <w:rFonts w:ascii="Times New Roman" w:hAnsi="Times New Roman" w:cs="Times New Roman"/>
          <w:sz w:val="28"/>
          <w:szCs w:val="28"/>
        </w:rPr>
        <w:t>Государственное регулирование  в области энергосбережения  и повышения энергетической эффективности осуществляется путем  установления</w:t>
      </w:r>
      <w:proofErr w:type="gramStart"/>
      <w:r w:rsidR="003665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6523">
        <w:rPr>
          <w:rFonts w:ascii="Times New Roman" w:hAnsi="Times New Roman" w:cs="Times New Roman"/>
          <w:sz w:val="28"/>
          <w:szCs w:val="28"/>
        </w:rPr>
        <w:t xml:space="preserve">  обязанности по учету используемых энергетических ресурсов, требований энергетической эффективности зданий, строений, сооружений, обязанности по проведению обязательного  энергетического обследования, требований</w:t>
      </w:r>
      <w:r w:rsidR="007C7034">
        <w:rPr>
          <w:rFonts w:ascii="Times New Roman" w:hAnsi="Times New Roman" w:cs="Times New Roman"/>
          <w:sz w:val="28"/>
          <w:szCs w:val="28"/>
        </w:rPr>
        <w:t xml:space="preserve"> к энергетическому паспорту, обязанностей проведения мероприятий по энергосбережению и повышению энергетической эффективности, требований энергетической эффективности  товаров, работ и услуг, размещение заказов на которые осуществляется для государственных или муниципальных нужд, требований к региональным, муниципальным целевым программам в области  энергосбережения и повышения энергетической  эффективности, требований к программам в </w:t>
      </w:r>
      <w:r w:rsidR="007C7034">
        <w:rPr>
          <w:rFonts w:ascii="Times New Roman" w:hAnsi="Times New Roman" w:cs="Times New Roman"/>
          <w:sz w:val="28"/>
          <w:szCs w:val="28"/>
        </w:rPr>
        <w:lastRenderedPageBreak/>
        <w:t>области энергосбережения и повышения энергетической эффективности с участием государства или муниципального  образования, иных мер государственного регулирования.</w:t>
      </w:r>
    </w:p>
    <w:p w:rsidR="007C7034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034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№ 261-ФЗ  установлены требования к обеспечению энергетической эффективности зданий, сооружений.  В соответствие  со статьей 13 Федерального закона № 261-ФЗ  потребляемые энергетические ресурсы  подлежат обязательному  учету с применением приборов учета используемых энергетических ресурсов.  Требования  организации учета  используемых энергетических ресурсов  не распространяются на  ветхие, аварийные объекты, объекты подлежащие сносу  или капитальному ремонту до 1 января 2013 года, а также объекты, мощность потребления  электрической энергии </w:t>
      </w:r>
      <w:r w:rsidR="000C069C">
        <w:rPr>
          <w:rFonts w:ascii="Times New Roman" w:hAnsi="Times New Roman" w:cs="Times New Roman"/>
          <w:sz w:val="28"/>
          <w:szCs w:val="28"/>
        </w:rPr>
        <w:t xml:space="preserve"> которых составляет менее чем пять киловат</w:t>
      </w:r>
      <w:proofErr w:type="gramStart"/>
      <w:r w:rsidR="000C06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C069C">
        <w:rPr>
          <w:rFonts w:ascii="Times New Roman" w:hAnsi="Times New Roman" w:cs="Times New Roman"/>
          <w:sz w:val="28"/>
          <w:szCs w:val="28"/>
        </w:rPr>
        <w:t xml:space="preserve">в отношении  организации учета </w:t>
      </w:r>
      <w:r w:rsidR="00FA7164">
        <w:rPr>
          <w:rFonts w:ascii="Times New Roman" w:hAnsi="Times New Roman" w:cs="Times New Roman"/>
          <w:sz w:val="28"/>
          <w:szCs w:val="28"/>
        </w:rPr>
        <w:t xml:space="preserve"> используемой  электрической  энергии) или 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объем  потребления  тепловой энергии которых  составляет менее чем  две десятых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456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2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час( в отношении  организации учета используемой тепловой энергии).</w:t>
      </w:r>
    </w:p>
    <w:p w:rsidR="00914A16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соответствие  со статьей 25 Федерального закона  № 261- ФЗ организации с участием государства или муниципального образования  должны утверждать  и реализовать программы в области энергосбережения и повышения энергетической эффективности, которые должны содержать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4A16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целевые показатели   энергосбережения и повышения энергетической эффективности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  которых должно быть обеспечено  в результате  реализации этих программ, и их значения;</w:t>
      </w:r>
    </w:p>
    <w:p w:rsidR="00914A16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энергосбережению  и повышению энергетической эффективности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ожидаемые результаты( в натуральном и стоимостном выражении), включая экономический эффект  от  проведения этих мероприятий;</w:t>
      </w:r>
    </w:p>
    <w:p w:rsidR="00914A16" w:rsidRDefault="00914A1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75E">
        <w:rPr>
          <w:rFonts w:ascii="Times New Roman" w:hAnsi="Times New Roman" w:cs="Times New Roman"/>
          <w:sz w:val="28"/>
          <w:szCs w:val="28"/>
        </w:rPr>
        <w:t>Статьей 16 Федерального закона № 261-ФЗ предусмотрено обязательное проведение энергетического обследования органами  государственной власти, государственными учреждениями:  первое – в период до 31 декабря 2012 года, последующи</w:t>
      </w:r>
      <w:proofErr w:type="gramStart"/>
      <w:r w:rsidR="001327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3275E">
        <w:rPr>
          <w:rFonts w:ascii="Times New Roman" w:hAnsi="Times New Roman" w:cs="Times New Roman"/>
          <w:sz w:val="28"/>
          <w:szCs w:val="28"/>
        </w:rPr>
        <w:t xml:space="preserve"> не реже чем один раз каждые пять лет.</w:t>
      </w:r>
    </w:p>
    <w:p w:rsidR="0013275E" w:rsidRDefault="0013275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 от 17.02.2010 № 61  «Об  утверждении  примерного перечня  мероприятий в области энергосбережения и повышения энергетической эффективности, который может быть  использован в целях разработки региональных, муниципальных программ в области энергосбережения и повышения энергетической эффективности» утвержден  примерный  перечень  мероприятий  в области энергосбережения и повышения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эффективности, который может  быть использован  в целях разработки  региональных, муниципальных программ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7D2F20">
        <w:rPr>
          <w:rFonts w:ascii="Times New Roman" w:hAnsi="Times New Roman" w:cs="Times New Roman"/>
          <w:sz w:val="28"/>
          <w:szCs w:val="28"/>
        </w:rPr>
        <w:t xml:space="preserve"> энергосбережения о повышения энергетической эффективности. Все мероприятия  примерного  перечня сгруппированы на</w:t>
      </w:r>
      <w:proofErr w:type="gramStart"/>
      <w:r w:rsidR="007D2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энергосбережению и повышению энергетической эффективности жилищного  фонда;</w:t>
      </w:r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энергосбережению и повышению энергетической эффективности систем коммунальной инфраструктуры;</w:t>
      </w:r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энергосбережению в организациях  с участием  государства или муниципального образования  и повышению энергетической эффективности   этих организаций;</w:t>
      </w:r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стимулированию  производителей  и потребителей энергетических ресурсов, организаций, осуществляющих передачу  энергетических ресурсов;</w:t>
      </w:r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 по увеличению использования в качестве  источников энергии  вторичных энергетических ресурсов и (или)  возобновляемых источников энергии;</w:t>
      </w:r>
    </w:p>
    <w:p w:rsidR="007D2F20" w:rsidRDefault="007D2F2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энергосбережению   в транспортном комплексе  и повышению его энергетической эффективности, в том числе  замещению бензина, используемого транспортными средствами</w:t>
      </w:r>
      <w:r w:rsidR="00AE717B">
        <w:rPr>
          <w:rFonts w:ascii="Times New Roman" w:hAnsi="Times New Roman" w:cs="Times New Roman"/>
          <w:sz w:val="28"/>
          <w:szCs w:val="28"/>
        </w:rPr>
        <w:t xml:space="preserve"> в качестве моторного  топлива, природным газом;</w:t>
      </w:r>
    </w:p>
    <w:p w:rsidR="00AE717B" w:rsidRDefault="00AE717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иным, определенным органом государственной власти субъекта Российской Федерации, органом местного самоуправления вопросам.</w:t>
      </w:r>
    </w:p>
    <w:p w:rsidR="004B0C42" w:rsidRPr="004B0C42" w:rsidRDefault="004B0C42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4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11E7C" w:rsidRPr="008A1CEB" w:rsidRDefault="008A1CEB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1CEB">
        <w:rPr>
          <w:rFonts w:ascii="Times New Roman" w:hAnsi="Times New Roman" w:cs="Times New Roman"/>
          <w:b/>
          <w:sz w:val="28"/>
        </w:rPr>
        <w:t xml:space="preserve">                        Анализ  плановых и фактических объемов средств, направленных  на оплату коммунальных услуг, а также  на мероприятия  в области энергосбережения и энергетической эффективности и анализ произведенных расходов</w:t>
      </w:r>
    </w:p>
    <w:p w:rsidR="008A1CEB" w:rsidRDefault="008A1CE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проверяемом  периоде Учреждению  предоставлялись бюджетные средства на оплату коммунальных услуг и на мероприятия в области  энергосбережения и  энергетической эффективности  в виде субсидий на финансовое обеспечение  вып</w:t>
      </w:r>
      <w:r w:rsidR="007A16B7">
        <w:rPr>
          <w:rFonts w:ascii="Times New Roman" w:hAnsi="Times New Roman" w:cs="Times New Roman"/>
          <w:sz w:val="28"/>
        </w:rPr>
        <w:t>олнения муниципального задани</w:t>
      </w:r>
      <w:proofErr w:type="gramStart"/>
      <w:r w:rsidR="007A16B7">
        <w:rPr>
          <w:rFonts w:ascii="Times New Roman" w:hAnsi="Times New Roman" w:cs="Times New Roman"/>
          <w:sz w:val="28"/>
        </w:rPr>
        <w:t>я(</w:t>
      </w:r>
      <w:proofErr w:type="gramEnd"/>
      <w:r w:rsidR="007A16B7">
        <w:rPr>
          <w:rFonts w:ascii="Times New Roman" w:hAnsi="Times New Roman" w:cs="Times New Roman"/>
          <w:sz w:val="28"/>
        </w:rPr>
        <w:t>на возмещение  нормативных затрат, связанных с оказанием в соответствии с муниципальным заданием муниципальных услуг(далее – Соглашения).   Коммунальные  услуги за счет  средств от иной приносящей доход  деятельност</w:t>
      </w:r>
      <w:proofErr w:type="gramStart"/>
      <w:r w:rsidR="007A16B7">
        <w:rPr>
          <w:rFonts w:ascii="Times New Roman" w:hAnsi="Times New Roman" w:cs="Times New Roman"/>
          <w:sz w:val="28"/>
        </w:rPr>
        <w:t>и(</w:t>
      </w:r>
      <w:proofErr w:type="gramEnd"/>
      <w:r w:rsidR="007A16B7">
        <w:rPr>
          <w:rFonts w:ascii="Times New Roman" w:hAnsi="Times New Roman" w:cs="Times New Roman"/>
          <w:sz w:val="28"/>
        </w:rPr>
        <w:t xml:space="preserve">внебюджетных источников)  не  оплачивались. </w:t>
      </w:r>
    </w:p>
    <w:p w:rsidR="007A16B7" w:rsidRDefault="007A16B7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2014-2017 годах  Администрацией муниципального района  с   Учреждением заключены  Соглашения о порядке и условиях  предоставления </w:t>
      </w:r>
      <w:r>
        <w:rPr>
          <w:rFonts w:ascii="Times New Roman" w:hAnsi="Times New Roman" w:cs="Times New Roman"/>
          <w:sz w:val="28"/>
        </w:rPr>
        <w:lastRenderedPageBreak/>
        <w:t xml:space="preserve">субсидий на  финансовое обеспечение  выполнения </w:t>
      </w:r>
      <w:r w:rsidR="00A435E5">
        <w:rPr>
          <w:rFonts w:ascii="Times New Roman" w:hAnsi="Times New Roman" w:cs="Times New Roman"/>
          <w:sz w:val="28"/>
        </w:rPr>
        <w:t xml:space="preserve"> муниципального задания</w:t>
      </w:r>
      <w:r w:rsidR="00A52A39">
        <w:rPr>
          <w:rFonts w:ascii="Times New Roman" w:hAnsi="Times New Roman" w:cs="Times New Roman"/>
          <w:sz w:val="28"/>
        </w:rPr>
        <w:t>, в том числе:</w:t>
      </w:r>
    </w:p>
    <w:p w:rsidR="00A52A39" w:rsidRDefault="00A52A39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году соглашение от 10.01.2014( в окончательной редакции    в сумме  </w:t>
      </w:r>
      <w:r w:rsidR="002C2ECE">
        <w:rPr>
          <w:rFonts w:ascii="Times New Roman" w:hAnsi="Times New Roman" w:cs="Times New Roman"/>
          <w:sz w:val="28"/>
        </w:rPr>
        <w:t>13667,7 тыс</w:t>
      </w:r>
      <w:proofErr w:type="gramStart"/>
      <w:r w:rsidR="002C2ECE">
        <w:rPr>
          <w:rFonts w:ascii="Times New Roman" w:hAnsi="Times New Roman" w:cs="Times New Roman"/>
          <w:sz w:val="28"/>
        </w:rPr>
        <w:t>.р</w:t>
      </w:r>
      <w:proofErr w:type="gramEnd"/>
      <w:r w:rsidR="002C2ECE">
        <w:rPr>
          <w:rFonts w:ascii="Times New Roman" w:hAnsi="Times New Roman" w:cs="Times New Roman"/>
          <w:sz w:val="28"/>
        </w:rPr>
        <w:t>ублей;</w:t>
      </w:r>
    </w:p>
    <w:p w:rsidR="002C2ECE" w:rsidRDefault="002C2EC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2015 году – соглашение от  12.01.2015( в окончательной редакции     в сумме 12605,5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ублей;</w:t>
      </w:r>
    </w:p>
    <w:p w:rsidR="00463F8D" w:rsidRDefault="002C2EC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2016 году – соглашение от  11.01.2016 (в окончательной редакции        в сумме  </w:t>
      </w:r>
      <w:r w:rsidR="00463F8D">
        <w:rPr>
          <w:rFonts w:ascii="Times New Roman" w:hAnsi="Times New Roman" w:cs="Times New Roman"/>
          <w:sz w:val="28"/>
        </w:rPr>
        <w:t>11930,0 тыс</w:t>
      </w:r>
      <w:proofErr w:type="gramStart"/>
      <w:r w:rsidR="00463F8D">
        <w:rPr>
          <w:rFonts w:ascii="Times New Roman" w:hAnsi="Times New Roman" w:cs="Times New Roman"/>
          <w:sz w:val="28"/>
        </w:rPr>
        <w:t>.р</w:t>
      </w:r>
      <w:proofErr w:type="gramEnd"/>
      <w:r w:rsidR="00463F8D">
        <w:rPr>
          <w:rFonts w:ascii="Times New Roman" w:hAnsi="Times New Roman" w:cs="Times New Roman"/>
          <w:sz w:val="28"/>
        </w:rPr>
        <w:t>ублей;</w:t>
      </w:r>
    </w:p>
    <w:p w:rsidR="00463F8D" w:rsidRDefault="00463F8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2017 году – соглашение от  9 .01.2017 ( в окончательной редакции          в сумме  13647,3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ублей.</w:t>
      </w:r>
    </w:p>
    <w:p w:rsidR="00463F8D" w:rsidRDefault="00463F8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  о планируемых объемах субсидии         на финансовое</w:t>
      </w:r>
      <w:r w:rsidR="00014231">
        <w:rPr>
          <w:rFonts w:ascii="Times New Roman" w:hAnsi="Times New Roman" w:cs="Times New Roman"/>
          <w:sz w:val="28"/>
        </w:rPr>
        <w:t xml:space="preserve">        обеспечение  выполнения  муниципального задания (дале</w:t>
      </w:r>
      <w:proofErr w:type="gramStart"/>
      <w:r w:rsidR="00014231">
        <w:rPr>
          <w:rFonts w:ascii="Times New Roman" w:hAnsi="Times New Roman" w:cs="Times New Roman"/>
          <w:sz w:val="28"/>
        </w:rPr>
        <w:t>е-</w:t>
      </w:r>
      <w:proofErr w:type="gramEnd"/>
      <w:r w:rsidR="00014231">
        <w:rPr>
          <w:rFonts w:ascii="Times New Roman" w:hAnsi="Times New Roman" w:cs="Times New Roman"/>
          <w:sz w:val="28"/>
        </w:rPr>
        <w:t xml:space="preserve"> субсидия на муниципальное задание) , направленной  Учреждению и поступлениях из внебюджетных источников  приведена в таблице  1:</w:t>
      </w:r>
    </w:p>
    <w:p w:rsidR="00A6752C" w:rsidRDefault="00A6752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В рублях</w:t>
      </w:r>
    </w:p>
    <w:tbl>
      <w:tblPr>
        <w:tblStyle w:val="a3"/>
        <w:tblW w:w="10882" w:type="dxa"/>
        <w:tblLayout w:type="fixed"/>
        <w:tblLook w:val="04A0"/>
      </w:tblPr>
      <w:tblGrid>
        <w:gridCol w:w="1809"/>
        <w:gridCol w:w="993"/>
        <w:gridCol w:w="1701"/>
        <w:gridCol w:w="1134"/>
        <w:gridCol w:w="1134"/>
        <w:gridCol w:w="992"/>
        <w:gridCol w:w="1134"/>
        <w:gridCol w:w="1985"/>
      </w:tblGrid>
      <w:tr w:rsidR="003774F5" w:rsidTr="003774F5">
        <w:tc>
          <w:tcPr>
            <w:tcW w:w="1809" w:type="dxa"/>
          </w:tcPr>
          <w:p w:rsidR="003774F5" w:rsidRPr="00A6752C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268" w:type="dxa"/>
            <w:gridSpan w:val="2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gridSpan w:val="2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85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CA7708" w:rsidTr="003774F5">
        <w:tc>
          <w:tcPr>
            <w:tcW w:w="1809" w:type="dxa"/>
            <w:vMerge w:val="restart"/>
          </w:tcPr>
          <w:p w:rsidR="00CA7708" w:rsidRPr="00A6752C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C">
              <w:rPr>
                <w:rFonts w:ascii="Times New Roman" w:hAnsi="Times New Roman" w:cs="Times New Roman"/>
                <w:sz w:val="24"/>
                <w:szCs w:val="24"/>
              </w:rPr>
              <w:t>Остаток средств  на начало года</w:t>
            </w:r>
          </w:p>
        </w:tc>
        <w:tc>
          <w:tcPr>
            <w:tcW w:w="993" w:type="dxa"/>
          </w:tcPr>
          <w:p w:rsidR="00CA7708" w:rsidRPr="00A6752C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</w:p>
        </w:tc>
        <w:tc>
          <w:tcPr>
            <w:tcW w:w="1701" w:type="dxa"/>
          </w:tcPr>
          <w:p w:rsidR="00CA7708" w:rsidRPr="00A6752C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Окончат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proofErr w:type="spellEnd"/>
          </w:p>
        </w:tc>
        <w:tc>
          <w:tcPr>
            <w:tcW w:w="1134" w:type="dxa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</w:p>
        </w:tc>
        <w:tc>
          <w:tcPr>
            <w:tcW w:w="1134" w:type="dxa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Окончат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proofErr w:type="spellEnd"/>
          </w:p>
        </w:tc>
        <w:tc>
          <w:tcPr>
            <w:tcW w:w="992" w:type="dxa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</w:p>
        </w:tc>
        <w:tc>
          <w:tcPr>
            <w:tcW w:w="1134" w:type="dxa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Окончат</w:t>
            </w:r>
            <w:proofErr w:type="gramStart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752C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proofErr w:type="spellEnd"/>
          </w:p>
        </w:tc>
        <w:tc>
          <w:tcPr>
            <w:tcW w:w="1985" w:type="dxa"/>
          </w:tcPr>
          <w:p w:rsidR="00CA7708" w:rsidRPr="00A6752C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редакция</w:t>
            </w:r>
          </w:p>
        </w:tc>
      </w:tr>
      <w:tr w:rsidR="00CA7708" w:rsidTr="003774F5">
        <w:tc>
          <w:tcPr>
            <w:tcW w:w="1809" w:type="dxa"/>
            <w:vMerge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5325,31</w:t>
            </w:r>
          </w:p>
        </w:tc>
        <w:tc>
          <w:tcPr>
            <w:tcW w:w="1701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5325,31</w:t>
            </w:r>
          </w:p>
        </w:tc>
        <w:tc>
          <w:tcPr>
            <w:tcW w:w="1134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14497,87</w:t>
            </w:r>
          </w:p>
        </w:tc>
        <w:tc>
          <w:tcPr>
            <w:tcW w:w="1134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14497,87</w:t>
            </w:r>
          </w:p>
        </w:tc>
        <w:tc>
          <w:tcPr>
            <w:tcW w:w="992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CA7708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708" w:rsidTr="00350705">
        <w:tc>
          <w:tcPr>
            <w:tcW w:w="10882" w:type="dxa"/>
            <w:gridSpan w:val="8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поступления</w:t>
            </w:r>
          </w:p>
        </w:tc>
      </w:tr>
      <w:tr w:rsidR="003774F5" w:rsidTr="003774F5">
        <w:tc>
          <w:tcPr>
            <w:tcW w:w="1809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D2DC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5D2DC3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gramStart"/>
            <w:r w:rsidRPr="005D2DC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D2DC3">
              <w:rPr>
                <w:rFonts w:ascii="Times New Roman" w:hAnsi="Times New Roman" w:cs="Times New Roman"/>
                <w:sz w:val="20"/>
                <w:szCs w:val="20"/>
              </w:rPr>
              <w:t>адани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</w:p>
        </w:tc>
        <w:tc>
          <w:tcPr>
            <w:tcW w:w="993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12552900,0</w:t>
            </w:r>
          </w:p>
        </w:tc>
        <w:tc>
          <w:tcPr>
            <w:tcW w:w="1701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12262310,15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12651800,0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11742514,24</w:t>
            </w:r>
          </w:p>
        </w:tc>
        <w:tc>
          <w:tcPr>
            <w:tcW w:w="992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11930000,0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13428176,56</w:t>
            </w:r>
          </w:p>
        </w:tc>
        <w:tc>
          <w:tcPr>
            <w:tcW w:w="1985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11972500,0</w:t>
            </w:r>
          </w:p>
        </w:tc>
      </w:tr>
      <w:tr w:rsidR="003774F5" w:rsidTr="003774F5">
        <w:tc>
          <w:tcPr>
            <w:tcW w:w="1809" w:type="dxa"/>
          </w:tcPr>
          <w:p w:rsidR="003774F5" w:rsidRPr="005D2DC3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hAnsi="Times New Roman" w:cs="Times New Roman"/>
                <w:sz w:val="20"/>
                <w:szCs w:val="20"/>
              </w:rPr>
              <w:t>Поступления из внебюджетных источников</w:t>
            </w:r>
          </w:p>
        </w:tc>
        <w:tc>
          <w:tcPr>
            <w:tcW w:w="993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440000,0</w:t>
            </w:r>
          </w:p>
        </w:tc>
        <w:tc>
          <w:tcPr>
            <w:tcW w:w="1701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583423,74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562000,0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642311,22</w:t>
            </w:r>
          </w:p>
        </w:tc>
        <w:tc>
          <w:tcPr>
            <w:tcW w:w="992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575900,0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724168,38</w:t>
            </w:r>
          </w:p>
        </w:tc>
        <w:tc>
          <w:tcPr>
            <w:tcW w:w="1985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594000,0</w:t>
            </w:r>
          </w:p>
        </w:tc>
      </w:tr>
      <w:tr w:rsidR="003774F5" w:rsidTr="003774F5">
        <w:tc>
          <w:tcPr>
            <w:tcW w:w="1809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3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12992900,0</w:t>
            </w:r>
          </w:p>
        </w:tc>
        <w:tc>
          <w:tcPr>
            <w:tcW w:w="1701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12845733,89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13213800,0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12384825,46</w:t>
            </w:r>
          </w:p>
        </w:tc>
        <w:tc>
          <w:tcPr>
            <w:tcW w:w="992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12505900,0</w:t>
            </w:r>
          </w:p>
        </w:tc>
        <w:tc>
          <w:tcPr>
            <w:tcW w:w="1134" w:type="dxa"/>
          </w:tcPr>
          <w:p w:rsidR="003774F5" w:rsidRP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4F5">
              <w:rPr>
                <w:rFonts w:ascii="Times New Roman" w:hAnsi="Times New Roman" w:cs="Times New Roman"/>
                <w:sz w:val="16"/>
                <w:szCs w:val="16"/>
              </w:rPr>
              <w:t>14152344,94</w:t>
            </w:r>
          </w:p>
        </w:tc>
        <w:tc>
          <w:tcPr>
            <w:tcW w:w="1985" w:type="dxa"/>
          </w:tcPr>
          <w:p w:rsidR="003774F5" w:rsidRP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12466500,0</w:t>
            </w:r>
          </w:p>
        </w:tc>
      </w:tr>
      <w:tr w:rsidR="00CA7708" w:rsidTr="003F6C57">
        <w:tc>
          <w:tcPr>
            <w:tcW w:w="10882" w:type="dxa"/>
            <w:gridSpan w:val="8"/>
          </w:tcPr>
          <w:p w:rsid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Расходы</w:t>
            </w:r>
          </w:p>
        </w:tc>
      </w:tr>
      <w:tr w:rsidR="003774F5" w:rsidTr="003774F5">
        <w:tc>
          <w:tcPr>
            <w:tcW w:w="1809" w:type="dxa"/>
          </w:tcPr>
          <w:p w:rsid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Субсидия на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адание</w:t>
            </w:r>
            <w:proofErr w:type="spellEnd"/>
          </w:p>
        </w:tc>
        <w:tc>
          <w:tcPr>
            <w:tcW w:w="993" w:type="dxa"/>
          </w:tcPr>
          <w:p w:rsidR="003774F5" w:rsidRPr="005D2DC3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12267621,32</w:t>
            </w:r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11742514,24</w:t>
            </w:r>
          </w:p>
        </w:tc>
        <w:tc>
          <w:tcPr>
            <w:tcW w:w="992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13428176,56</w:t>
            </w:r>
          </w:p>
        </w:tc>
        <w:tc>
          <w:tcPr>
            <w:tcW w:w="1985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3774F5" w:rsidTr="003774F5">
        <w:tc>
          <w:tcPr>
            <w:tcW w:w="1809" w:type="dxa"/>
          </w:tcPr>
          <w:p w:rsid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D2DC3">
              <w:rPr>
                <w:rFonts w:ascii="Times New Roman" w:hAnsi="Times New Roman" w:cs="Times New Roman"/>
                <w:sz w:val="20"/>
                <w:szCs w:val="20"/>
              </w:rPr>
              <w:t>Поступления из внебюджетных источников</w:t>
            </w:r>
          </w:p>
        </w:tc>
        <w:tc>
          <w:tcPr>
            <w:tcW w:w="993" w:type="dxa"/>
          </w:tcPr>
          <w:p w:rsidR="003774F5" w:rsidRPr="005D2DC3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568940,01</w:t>
            </w:r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656809,09</w:t>
            </w:r>
          </w:p>
        </w:tc>
        <w:tc>
          <w:tcPr>
            <w:tcW w:w="992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>724168,38</w:t>
            </w:r>
          </w:p>
        </w:tc>
        <w:tc>
          <w:tcPr>
            <w:tcW w:w="1985" w:type="dxa"/>
          </w:tcPr>
          <w:p w:rsidR="003774F5" w:rsidRPr="00CA7708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708">
              <w:rPr>
                <w:rFonts w:ascii="Times New Roman" w:hAnsi="Times New Roman" w:cs="Times New Roman"/>
                <w:sz w:val="16"/>
                <w:szCs w:val="16"/>
              </w:rPr>
              <w:t xml:space="preserve">        Х</w:t>
            </w:r>
          </w:p>
        </w:tc>
      </w:tr>
      <w:tr w:rsidR="003774F5" w:rsidTr="003774F5">
        <w:tc>
          <w:tcPr>
            <w:tcW w:w="1809" w:type="dxa"/>
          </w:tcPr>
          <w:p w:rsidR="003774F5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3" w:type="dxa"/>
          </w:tcPr>
          <w:p w:rsidR="003774F5" w:rsidRPr="005D2DC3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3774F5" w:rsidRPr="009C12CE" w:rsidRDefault="009C12CE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12836561,33</w:t>
            </w:r>
          </w:p>
        </w:tc>
        <w:tc>
          <w:tcPr>
            <w:tcW w:w="1134" w:type="dxa"/>
          </w:tcPr>
          <w:p w:rsidR="003774F5" w:rsidRPr="009C12CE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9C12CE" w:rsidRDefault="009C12CE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12399323,33</w:t>
            </w:r>
          </w:p>
        </w:tc>
        <w:tc>
          <w:tcPr>
            <w:tcW w:w="992" w:type="dxa"/>
          </w:tcPr>
          <w:p w:rsidR="003774F5" w:rsidRPr="009C12CE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3774F5" w:rsidRPr="009C12CE" w:rsidRDefault="009C12CE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14152344,94</w:t>
            </w:r>
          </w:p>
        </w:tc>
        <w:tc>
          <w:tcPr>
            <w:tcW w:w="1985" w:type="dxa"/>
          </w:tcPr>
          <w:p w:rsidR="003774F5" w:rsidRPr="009C12CE" w:rsidRDefault="00CA7708" w:rsidP="001A65C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C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9C12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3774F5" w:rsidTr="003774F5">
        <w:tc>
          <w:tcPr>
            <w:tcW w:w="1809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774F5" w:rsidRDefault="003774F5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4231" w:rsidRDefault="00014231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63F8D" w:rsidRDefault="00463F8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63F8D" w:rsidRDefault="00463F8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Учреждением представлены к проверке  планы  финансово-хозяйственной деятельности  на 201-2017 год</w:t>
      </w:r>
      <w:proofErr w:type="gramStart"/>
      <w:r>
        <w:rPr>
          <w:rFonts w:ascii="Times New Roman" w:hAnsi="Times New Roman" w:cs="Times New Roman"/>
          <w:sz w:val="28"/>
        </w:rPr>
        <w:t>ы(</w:t>
      </w:r>
      <w:proofErr w:type="gramEnd"/>
      <w:r>
        <w:rPr>
          <w:rFonts w:ascii="Times New Roman" w:hAnsi="Times New Roman" w:cs="Times New Roman"/>
          <w:sz w:val="28"/>
        </w:rPr>
        <w:t xml:space="preserve"> далее  ФХД).</w:t>
      </w:r>
    </w:p>
    <w:p w:rsidR="009C12CE" w:rsidRDefault="00463F8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Планы   ФХД составлялись  в период  2014-2017 го</w:t>
      </w:r>
      <w:r w:rsidR="00322A35">
        <w:rPr>
          <w:rFonts w:ascii="Times New Roman" w:hAnsi="Times New Roman" w:cs="Times New Roman"/>
          <w:sz w:val="28"/>
        </w:rPr>
        <w:t xml:space="preserve">дов ежегодно, подписаны   руководителем и главным бухгалтером   и утверждены  руководителем в  установленные сроки. </w:t>
      </w:r>
    </w:p>
    <w:p w:rsidR="00463F8D" w:rsidRDefault="00322A35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планы   ФХД  вносились изменения в течение 2014 года </w:t>
      </w:r>
      <w:r w:rsidR="009C12CE">
        <w:rPr>
          <w:rFonts w:ascii="Times New Roman" w:hAnsi="Times New Roman" w:cs="Times New Roman"/>
          <w:sz w:val="28"/>
        </w:rPr>
        <w:t xml:space="preserve"> - 4 раза, в том числе  по оплате коммунальных услуг -  дважды,  в 2015 году- 4  раза, в том числе на оплату коммунальных услуг- 2 раза, в 2016 году- изменения вносились 4 раза, в том числе  на оплату коммунальных услуг- 1 раз, </w:t>
      </w:r>
      <w:r>
        <w:rPr>
          <w:rFonts w:ascii="Times New Roman" w:hAnsi="Times New Roman" w:cs="Times New Roman"/>
          <w:sz w:val="28"/>
        </w:rPr>
        <w:t xml:space="preserve"> </w:t>
      </w:r>
      <w:r w:rsidR="009C12CE">
        <w:rPr>
          <w:rFonts w:ascii="Times New Roman" w:hAnsi="Times New Roman" w:cs="Times New Roman"/>
          <w:sz w:val="28"/>
        </w:rPr>
        <w:t xml:space="preserve">  в 2017 году – 5 раз, в том числе на оплату коммунальных</w:t>
      </w:r>
      <w:proofErr w:type="gramEnd"/>
      <w:r w:rsidR="009E2C6A">
        <w:rPr>
          <w:rFonts w:ascii="Times New Roman" w:hAnsi="Times New Roman" w:cs="Times New Roman"/>
          <w:sz w:val="28"/>
        </w:rPr>
        <w:t xml:space="preserve"> </w:t>
      </w:r>
      <w:r w:rsidR="009C12CE">
        <w:rPr>
          <w:rFonts w:ascii="Times New Roman" w:hAnsi="Times New Roman" w:cs="Times New Roman"/>
          <w:sz w:val="28"/>
        </w:rPr>
        <w:t>услуг- 3 раза.</w:t>
      </w:r>
      <w:r w:rsidR="009E2C6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463F8D">
        <w:rPr>
          <w:rFonts w:ascii="Times New Roman" w:hAnsi="Times New Roman" w:cs="Times New Roman"/>
          <w:sz w:val="28"/>
        </w:rPr>
        <w:t xml:space="preserve"> </w:t>
      </w:r>
    </w:p>
    <w:p w:rsidR="000A51AD" w:rsidRDefault="000A51A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расходы Учреждения на коммунальные</w:t>
      </w:r>
      <w:r w:rsidR="008C104B">
        <w:rPr>
          <w:rFonts w:ascii="Times New Roman" w:hAnsi="Times New Roman" w:cs="Times New Roman"/>
          <w:sz w:val="28"/>
        </w:rPr>
        <w:t xml:space="preserve"> услуги </w:t>
      </w:r>
      <w:r>
        <w:rPr>
          <w:rFonts w:ascii="Times New Roman" w:hAnsi="Times New Roman" w:cs="Times New Roman"/>
          <w:sz w:val="28"/>
        </w:rPr>
        <w:t xml:space="preserve"> </w:t>
      </w:r>
      <w:r w:rsidR="008C104B">
        <w:rPr>
          <w:rFonts w:ascii="Times New Roman" w:hAnsi="Times New Roman" w:cs="Times New Roman"/>
          <w:sz w:val="28"/>
        </w:rPr>
        <w:t xml:space="preserve">  за счет средств субсидии </w:t>
      </w:r>
      <w:r>
        <w:rPr>
          <w:rFonts w:ascii="Times New Roman" w:hAnsi="Times New Roman" w:cs="Times New Roman"/>
          <w:sz w:val="28"/>
        </w:rPr>
        <w:t xml:space="preserve"> ежегодно возрастают</w:t>
      </w:r>
      <w:r w:rsidR="008C104B">
        <w:rPr>
          <w:rFonts w:ascii="Times New Roman" w:hAnsi="Times New Roman" w:cs="Times New Roman"/>
          <w:sz w:val="28"/>
        </w:rPr>
        <w:t>.</w:t>
      </w:r>
      <w:r w:rsidR="006D6DC0">
        <w:rPr>
          <w:rFonts w:ascii="Times New Roman" w:hAnsi="Times New Roman" w:cs="Times New Roman"/>
          <w:sz w:val="28"/>
        </w:rPr>
        <w:t xml:space="preserve"> Так  в 2016 году объем средств, направленных на оплату коммунальных услуг   увеличился на 1033,6  тыс</w:t>
      </w:r>
      <w:proofErr w:type="gramStart"/>
      <w:r w:rsidR="006D6DC0">
        <w:rPr>
          <w:rFonts w:ascii="Times New Roman" w:hAnsi="Times New Roman" w:cs="Times New Roman"/>
          <w:sz w:val="28"/>
        </w:rPr>
        <w:t>.р</w:t>
      </w:r>
      <w:proofErr w:type="gramEnd"/>
      <w:r w:rsidR="006D6DC0">
        <w:rPr>
          <w:rFonts w:ascii="Times New Roman" w:hAnsi="Times New Roman" w:cs="Times New Roman"/>
          <w:sz w:val="28"/>
        </w:rPr>
        <w:t>ублей ( 2218,1  до 3251,7 тыс.рублей), рост расходов по сравнению с 2014 годом составил 146,6 процента.</w:t>
      </w:r>
    </w:p>
    <w:p w:rsidR="006D6DC0" w:rsidRDefault="006D6DC0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Расходов  на коммунальные услуги   за счет внебюджетных источников  в проверяемом периоде не производились.</w:t>
      </w:r>
    </w:p>
    <w:p w:rsidR="006D6DC0" w:rsidRDefault="00A6310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Объем средств на мероприятия по энергосбережению  на 2014- 2017 год за счет средств субсидии на выполнение   задания не планировался.</w:t>
      </w:r>
    </w:p>
    <w:p w:rsidR="00A6310B" w:rsidRDefault="00A6310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631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соответствии с Порядками  планирования бюджетных ассигнований  бюджета муниципального района планируемый рост</w:t>
      </w:r>
      <w:r w:rsidR="00C56F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расходов на оплату коммунальных услуг  для казенных, бюджетных, автономных  учреждений  на 2015 год составил</w:t>
      </w:r>
      <w:r w:rsidR="009C3F84">
        <w:rPr>
          <w:rFonts w:ascii="Times New Roman" w:hAnsi="Times New Roman" w:cs="Times New Roman"/>
          <w:sz w:val="28"/>
        </w:rPr>
        <w:t xml:space="preserve">  8,5</w:t>
      </w:r>
      <w:r>
        <w:rPr>
          <w:rFonts w:ascii="Times New Roman" w:hAnsi="Times New Roman" w:cs="Times New Roman"/>
          <w:sz w:val="28"/>
        </w:rPr>
        <w:t xml:space="preserve"> процент</w:t>
      </w:r>
      <w:r w:rsidR="009C3F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на 2016 год-   </w:t>
      </w:r>
      <w:r w:rsidR="009C3F84">
        <w:rPr>
          <w:rFonts w:ascii="Times New Roman" w:hAnsi="Times New Roman" w:cs="Times New Roman"/>
          <w:sz w:val="28"/>
        </w:rPr>
        <w:t>8,5</w:t>
      </w:r>
      <w:r>
        <w:rPr>
          <w:rFonts w:ascii="Times New Roman" w:hAnsi="Times New Roman" w:cs="Times New Roman"/>
          <w:sz w:val="28"/>
        </w:rPr>
        <w:t xml:space="preserve">      процентов,   на 2017 год    -  </w:t>
      </w:r>
      <w:r w:rsidR="009C3F84">
        <w:rPr>
          <w:rFonts w:ascii="Times New Roman" w:hAnsi="Times New Roman" w:cs="Times New Roman"/>
          <w:sz w:val="28"/>
        </w:rPr>
        <w:t xml:space="preserve"> по теплоснабжени</w:t>
      </w:r>
      <w:proofErr w:type="gramStart"/>
      <w:r w:rsidR="009C3F84">
        <w:rPr>
          <w:rFonts w:ascii="Times New Roman" w:hAnsi="Times New Roman" w:cs="Times New Roman"/>
          <w:sz w:val="28"/>
        </w:rPr>
        <w:t>ю-</w:t>
      </w:r>
      <w:proofErr w:type="gramEnd"/>
      <w:r w:rsidR="009C3F84">
        <w:rPr>
          <w:rFonts w:ascii="Times New Roman" w:hAnsi="Times New Roman" w:cs="Times New Roman"/>
          <w:sz w:val="28"/>
        </w:rPr>
        <w:t xml:space="preserve"> на 1,106</w:t>
      </w:r>
      <w:r>
        <w:rPr>
          <w:rFonts w:ascii="Times New Roman" w:hAnsi="Times New Roman" w:cs="Times New Roman"/>
          <w:sz w:val="28"/>
        </w:rPr>
        <w:t xml:space="preserve">  процент</w:t>
      </w:r>
      <w:r w:rsidR="009C3F84">
        <w:rPr>
          <w:rFonts w:ascii="Times New Roman" w:hAnsi="Times New Roman" w:cs="Times New Roman"/>
          <w:sz w:val="28"/>
        </w:rPr>
        <w:t>а,  по электроснабжению – на 1,028 процента, по водоснабжению- на 1,021 процента</w:t>
      </w:r>
      <w:r>
        <w:rPr>
          <w:rFonts w:ascii="Times New Roman" w:hAnsi="Times New Roman" w:cs="Times New Roman"/>
          <w:sz w:val="28"/>
        </w:rPr>
        <w:t>.</w:t>
      </w:r>
    </w:p>
    <w:p w:rsidR="00A6310B" w:rsidRDefault="00A6310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проверяемом периоде  Учреждению выставлено счетов  на оплату  коммунальных услуг  все</w:t>
      </w:r>
      <w:r w:rsidR="00AA3364">
        <w:rPr>
          <w:rFonts w:ascii="Times New Roman" w:hAnsi="Times New Roman" w:cs="Times New Roman"/>
          <w:sz w:val="28"/>
        </w:rPr>
        <w:t>го   на сумму 7838,8 тыс</w:t>
      </w:r>
      <w:proofErr w:type="gramStart"/>
      <w:r w:rsidR="00AA3364">
        <w:rPr>
          <w:rFonts w:ascii="Times New Roman" w:hAnsi="Times New Roman" w:cs="Times New Roman"/>
          <w:sz w:val="28"/>
        </w:rPr>
        <w:t>.р</w:t>
      </w:r>
      <w:proofErr w:type="gramEnd"/>
      <w:r w:rsidR="00AA3364">
        <w:rPr>
          <w:rFonts w:ascii="Times New Roman" w:hAnsi="Times New Roman" w:cs="Times New Roman"/>
          <w:sz w:val="28"/>
        </w:rPr>
        <w:t>ублей, в том числе в 2014 году на сумму 1889,5 тыс.рублей, в 2015 году- на сумму 1808,6 тыс.рублей, в 2016 году на сумму – 2544,6 тыс.рублей,  за 1 полугодие 2017 года – 1596,1 тыс.рублей. Таким образом</w:t>
      </w:r>
      <w:proofErr w:type="gramStart"/>
      <w:r w:rsidR="00AA3364">
        <w:rPr>
          <w:rFonts w:ascii="Times New Roman" w:hAnsi="Times New Roman" w:cs="Times New Roman"/>
          <w:sz w:val="28"/>
        </w:rPr>
        <w:t xml:space="preserve"> ,</w:t>
      </w:r>
      <w:proofErr w:type="gramEnd"/>
      <w:r w:rsidR="00AA3364">
        <w:rPr>
          <w:rFonts w:ascii="Times New Roman" w:hAnsi="Times New Roman" w:cs="Times New Roman"/>
          <w:sz w:val="28"/>
        </w:rPr>
        <w:t xml:space="preserve"> фактические  расходы Учреждения  на коммунальные услуги  в 2015 году  по сравнению с  2014 годом уменьшились 4,28 процента, в 2016 году  возросли по сравнению с 2015 годом на  40,69 процента.</w:t>
      </w:r>
    </w:p>
    <w:p w:rsidR="009C3F84" w:rsidRDefault="009C3F84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C3F84" w:rsidRDefault="009C3F84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C3F84" w:rsidRDefault="009C3F84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7C21" w:rsidRDefault="00A57C21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7C21" w:rsidRDefault="00A57C21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Удельный вес расходов  на коммунальные услуги  в разрезе видов услуг  в общем объеме расходов:</w:t>
      </w:r>
    </w:p>
    <w:p w:rsidR="00A57C21" w:rsidRDefault="00A57C21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Таблица 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Период</w:t>
            </w:r>
          </w:p>
        </w:tc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Выставлено счето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тыс.рублей</w:t>
            </w:r>
          </w:p>
        </w:tc>
        <w:tc>
          <w:tcPr>
            <w:tcW w:w="3191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расходо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процент)</w:t>
            </w:r>
          </w:p>
        </w:tc>
      </w:tr>
      <w:tr w:rsidR="00A57C21" w:rsidTr="00A57C21">
        <w:tc>
          <w:tcPr>
            <w:tcW w:w="3190" w:type="dxa"/>
          </w:tcPr>
          <w:p w:rsidR="00A57C21" w:rsidRPr="00EF5ECC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5ECC">
              <w:rPr>
                <w:rFonts w:ascii="Times New Roman" w:hAnsi="Times New Roman" w:cs="Times New Roman"/>
                <w:b/>
                <w:sz w:val="28"/>
              </w:rPr>
              <w:t>2014</w:t>
            </w:r>
          </w:p>
        </w:tc>
        <w:tc>
          <w:tcPr>
            <w:tcW w:w="3190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="00A57C21" w:rsidRPr="00EF5ECC">
              <w:rPr>
                <w:rFonts w:ascii="Times New Roman" w:hAnsi="Times New Roman" w:cs="Times New Roman"/>
                <w:b/>
                <w:sz w:val="28"/>
              </w:rPr>
              <w:t>1889,5</w:t>
            </w:r>
          </w:p>
        </w:tc>
        <w:tc>
          <w:tcPr>
            <w:tcW w:w="3191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Pr="00EF5ECC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A57C21">
              <w:rPr>
                <w:rFonts w:ascii="Times New Roman" w:hAnsi="Times New Roman" w:cs="Times New Roman"/>
                <w:sz w:val="28"/>
              </w:rPr>
              <w:t>144,8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7,66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A57C21">
              <w:rPr>
                <w:rFonts w:ascii="Times New Roman" w:hAnsi="Times New Roman" w:cs="Times New Roman"/>
                <w:sz w:val="28"/>
              </w:rPr>
              <w:t>20,3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1,07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A57C21">
              <w:rPr>
                <w:rFonts w:ascii="Times New Roman" w:hAnsi="Times New Roman" w:cs="Times New Roman"/>
                <w:sz w:val="28"/>
              </w:rPr>
              <w:t>1724,4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91,26</w:t>
            </w:r>
          </w:p>
        </w:tc>
      </w:tr>
      <w:tr w:rsidR="00A57C21" w:rsidTr="00A57C21">
        <w:tc>
          <w:tcPr>
            <w:tcW w:w="3190" w:type="dxa"/>
          </w:tcPr>
          <w:p w:rsidR="00A57C21" w:rsidRPr="00EF5ECC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5ECC">
              <w:rPr>
                <w:rFonts w:ascii="Times New Roman" w:hAnsi="Times New Roman" w:cs="Times New Roman"/>
                <w:b/>
                <w:sz w:val="28"/>
              </w:rPr>
              <w:t>2015</w:t>
            </w:r>
          </w:p>
        </w:tc>
        <w:tc>
          <w:tcPr>
            <w:tcW w:w="3190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="00A57C21" w:rsidRPr="00EF5ECC">
              <w:rPr>
                <w:rFonts w:ascii="Times New Roman" w:hAnsi="Times New Roman" w:cs="Times New Roman"/>
                <w:b/>
                <w:sz w:val="28"/>
              </w:rPr>
              <w:t>1808,6</w:t>
            </w:r>
          </w:p>
        </w:tc>
        <w:tc>
          <w:tcPr>
            <w:tcW w:w="3191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Pr="00EF5ECC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A57C21">
              <w:rPr>
                <w:rFonts w:ascii="Times New Roman" w:hAnsi="Times New Roman" w:cs="Times New Roman"/>
                <w:sz w:val="28"/>
              </w:rPr>
              <w:t>120,5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6,66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A57C21">
              <w:rPr>
                <w:rFonts w:ascii="Times New Roman" w:hAnsi="Times New Roman" w:cs="Times New Roman"/>
                <w:sz w:val="28"/>
              </w:rPr>
              <w:t>21,8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1,2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</w:t>
            </w:r>
            <w:r w:rsidR="00A57C21">
              <w:rPr>
                <w:rFonts w:ascii="Times New Roman" w:hAnsi="Times New Roman" w:cs="Times New Roman"/>
                <w:sz w:val="28"/>
              </w:rPr>
              <w:t>666,3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92,1</w:t>
            </w:r>
          </w:p>
        </w:tc>
      </w:tr>
      <w:tr w:rsidR="00A57C21" w:rsidTr="00A57C21">
        <w:tc>
          <w:tcPr>
            <w:tcW w:w="3190" w:type="dxa"/>
          </w:tcPr>
          <w:p w:rsidR="00A57C21" w:rsidRPr="00EF5ECC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5ECC">
              <w:rPr>
                <w:rFonts w:ascii="Times New Roman" w:hAnsi="Times New Roman" w:cs="Times New Roman"/>
                <w:b/>
                <w:sz w:val="28"/>
              </w:rPr>
              <w:t xml:space="preserve">2016 </w:t>
            </w:r>
          </w:p>
        </w:tc>
        <w:tc>
          <w:tcPr>
            <w:tcW w:w="3190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="00A57C21" w:rsidRPr="00EF5ECC">
              <w:rPr>
                <w:rFonts w:ascii="Times New Roman" w:hAnsi="Times New Roman" w:cs="Times New Roman"/>
                <w:b/>
                <w:sz w:val="28"/>
              </w:rPr>
              <w:t>2544,6</w:t>
            </w:r>
          </w:p>
        </w:tc>
        <w:tc>
          <w:tcPr>
            <w:tcW w:w="3191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Pr="00EF5ECC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57C21">
              <w:rPr>
                <w:rFonts w:ascii="Times New Roman" w:hAnsi="Times New Roman" w:cs="Times New Roman"/>
                <w:sz w:val="28"/>
              </w:rPr>
              <w:t>146,9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5,77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26,7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1,05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2131,9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83,78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Дрова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16,9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0,66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котельной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222,3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8,74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F5ECC">
              <w:rPr>
                <w:rFonts w:ascii="Times New Roman" w:hAnsi="Times New Roman" w:cs="Times New Roman"/>
                <w:b/>
                <w:sz w:val="28"/>
              </w:rPr>
              <w:t>2017 (1 полугодие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90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Pr="00EF5ECC">
              <w:rPr>
                <w:rFonts w:ascii="Times New Roman" w:hAnsi="Times New Roman" w:cs="Times New Roman"/>
                <w:b/>
                <w:sz w:val="28"/>
              </w:rPr>
              <w:t>1596,1</w:t>
            </w:r>
          </w:p>
        </w:tc>
        <w:tc>
          <w:tcPr>
            <w:tcW w:w="3191" w:type="dxa"/>
          </w:tcPr>
          <w:p w:rsidR="00A57C21" w:rsidRPr="00EF5ECC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EF5ECC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44,9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2,81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10,1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0,63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1523,3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95,44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Дрова</w:t>
            </w:r>
          </w:p>
        </w:tc>
        <w:tc>
          <w:tcPr>
            <w:tcW w:w="3190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17,8</w:t>
            </w:r>
          </w:p>
        </w:tc>
        <w:tc>
          <w:tcPr>
            <w:tcW w:w="3191" w:type="dxa"/>
          </w:tcPr>
          <w:p w:rsidR="00A57C21" w:rsidRDefault="00EF5ECC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1,12</w:t>
            </w:r>
          </w:p>
        </w:tc>
      </w:tr>
      <w:tr w:rsidR="00A57C21" w:rsidTr="00A57C21"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57C21" w:rsidRDefault="00A57C21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2A39" w:rsidRDefault="00A57C21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07EC">
        <w:rPr>
          <w:rFonts w:ascii="Times New Roman" w:hAnsi="Times New Roman" w:cs="Times New Roman"/>
          <w:sz w:val="28"/>
        </w:rPr>
        <w:t xml:space="preserve">   Наибольший  удельный вес в общих расходах на коммунальные услуги  приходится на оплату теплоснабжения</w:t>
      </w:r>
      <w:proofErr w:type="gramStart"/>
      <w:r w:rsidR="00D707EC">
        <w:rPr>
          <w:rFonts w:ascii="Times New Roman" w:hAnsi="Times New Roman" w:cs="Times New Roman"/>
          <w:sz w:val="28"/>
        </w:rPr>
        <w:t>9</w:t>
      </w:r>
      <w:proofErr w:type="gramEnd"/>
      <w:r w:rsidR="00D707EC">
        <w:rPr>
          <w:rFonts w:ascii="Times New Roman" w:hAnsi="Times New Roman" w:cs="Times New Roman"/>
          <w:sz w:val="28"/>
        </w:rPr>
        <w:t xml:space="preserve"> в 2014 году 91,26 процента, в 2015 году 92,1 процента, в 2016 году 83,78 процента, в 2017 году 95,44 процента).</w:t>
      </w:r>
    </w:p>
    <w:p w:rsidR="00D707EC" w:rsidRDefault="00D707E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Согласно данным формы  0503769 « Сведения  по дебиторской и кредиторской задолженности учреждения» объем кредиторской задолженности  по коммунальным услугам  составляет:</w:t>
      </w:r>
    </w:p>
    <w:p w:rsidR="00D707EC" w:rsidRDefault="00D707E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Таблица 3</w:t>
      </w:r>
    </w:p>
    <w:p w:rsidR="00D707EC" w:rsidRDefault="00D707E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ублей)</w:t>
      </w:r>
    </w:p>
    <w:tbl>
      <w:tblPr>
        <w:tblStyle w:val="a3"/>
        <w:tblW w:w="0" w:type="auto"/>
        <w:tblLayout w:type="fixed"/>
        <w:tblLook w:val="04A0"/>
      </w:tblPr>
      <w:tblGrid>
        <w:gridCol w:w="1599"/>
        <w:gridCol w:w="919"/>
        <w:gridCol w:w="851"/>
        <w:gridCol w:w="898"/>
        <w:gridCol w:w="944"/>
        <w:gridCol w:w="851"/>
        <w:gridCol w:w="959"/>
        <w:gridCol w:w="779"/>
        <w:gridCol w:w="813"/>
        <w:gridCol w:w="958"/>
      </w:tblGrid>
      <w:tr w:rsidR="00F10974" w:rsidTr="00F10974">
        <w:tc>
          <w:tcPr>
            <w:tcW w:w="1599" w:type="dxa"/>
            <w:vMerge w:val="restart"/>
          </w:tcPr>
          <w:p w:rsid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8" w:type="dxa"/>
            <w:gridSpan w:val="3"/>
          </w:tcPr>
          <w:p w:rsid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01.01.2015</w:t>
            </w:r>
          </w:p>
        </w:tc>
        <w:tc>
          <w:tcPr>
            <w:tcW w:w="2754" w:type="dxa"/>
            <w:gridSpan w:val="3"/>
          </w:tcPr>
          <w:p w:rsid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01.01.2016</w:t>
            </w:r>
          </w:p>
        </w:tc>
        <w:tc>
          <w:tcPr>
            <w:tcW w:w="2550" w:type="dxa"/>
            <w:gridSpan w:val="3"/>
          </w:tcPr>
          <w:p w:rsid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01.01.2017</w:t>
            </w:r>
          </w:p>
        </w:tc>
      </w:tr>
      <w:tr w:rsidR="00F10974" w:rsidTr="00F10974">
        <w:tc>
          <w:tcPr>
            <w:tcW w:w="1599" w:type="dxa"/>
            <w:vMerge/>
          </w:tcPr>
          <w:p w:rsid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9" w:type="dxa"/>
          </w:tcPr>
          <w:p w:rsidR="00F10974" w:rsidRP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F10974" w:rsidRP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7EC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98" w:type="dxa"/>
          </w:tcPr>
          <w:p w:rsidR="00F10974" w:rsidRP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4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59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9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13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58" w:type="dxa"/>
          </w:tcPr>
          <w:p w:rsidR="00F10974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9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10974" w:rsidTr="00F10974">
        <w:tc>
          <w:tcPr>
            <w:tcW w:w="159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91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1926,2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898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1926,2</w:t>
            </w:r>
          </w:p>
        </w:tc>
        <w:tc>
          <w:tcPr>
            <w:tcW w:w="944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1491,8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1491,8</w:t>
            </w:r>
          </w:p>
        </w:tc>
        <w:tc>
          <w:tcPr>
            <w:tcW w:w="77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813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8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</w:tr>
      <w:tr w:rsidR="00F10974" w:rsidTr="00F10974">
        <w:tc>
          <w:tcPr>
            <w:tcW w:w="159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1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898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944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77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17,1</w:t>
            </w:r>
          </w:p>
        </w:tc>
        <w:tc>
          <w:tcPr>
            <w:tcW w:w="813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8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17,1</w:t>
            </w:r>
          </w:p>
        </w:tc>
      </w:tr>
      <w:tr w:rsidR="00F10974" w:rsidTr="00F10974">
        <w:tc>
          <w:tcPr>
            <w:tcW w:w="159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1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898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944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  <w:tc>
          <w:tcPr>
            <w:tcW w:w="779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</w:t>
            </w:r>
          </w:p>
        </w:tc>
        <w:tc>
          <w:tcPr>
            <w:tcW w:w="813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8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</w:t>
            </w:r>
          </w:p>
        </w:tc>
      </w:tr>
      <w:tr w:rsidR="00F10974" w:rsidRPr="00F10974" w:rsidTr="00F10974">
        <w:tc>
          <w:tcPr>
            <w:tcW w:w="159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10974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1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1929,0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   </w:t>
            </w:r>
          </w:p>
        </w:tc>
        <w:tc>
          <w:tcPr>
            <w:tcW w:w="898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1929,0</w:t>
            </w:r>
          </w:p>
        </w:tc>
        <w:tc>
          <w:tcPr>
            <w:tcW w:w="944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1511,4</w:t>
            </w:r>
          </w:p>
        </w:tc>
        <w:tc>
          <w:tcPr>
            <w:tcW w:w="851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1511,4</w:t>
            </w:r>
          </w:p>
        </w:tc>
        <w:tc>
          <w:tcPr>
            <w:tcW w:w="779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804,2</w:t>
            </w:r>
          </w:p>
        </w:tc>
        <w:tc>
          <w:tcPr>
            <w:tcW w:w="813" w:type="dxa"/>
          </w:tcPr>
          <w:p w:rsidR="00D707EC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58" w:type="dxa"/>
          </w:tcPr>
          <w:p w:rsidR="00D707EC" w:rsidRPr="00F10974" w:rsidRDefault="00F10974" w:rsidP="001A65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4">
              <w:rPr>
                <w:rFonts w:ascii="Times New Roman" w:hAnsi="Times New Roman" w:cs="Times New Roman"/>
                <w:sz w:val="24"/>
                <w:szCs w:val="24"/>
              </w:rPr>
              <w:t>804,2</w:t>
            </w:r>
          </w:p>
        </w:tc>
      </w:tr>
    </w:tbl>
    <w:p w:rsidR="00D707EC" w:rsidRDefault="00D707E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11E7C" w:rsidRDefault="00F10974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2014-216 годы  объем кредиторской задолженности   снизился на </w:t>
      </w:r>
      <w:r w:rsidR="002C6F8B">
        <w:rPr>
          <w:rFonts w:ascii="Times New Roman" w:hAnsi="Times New Roman" w:cs="Times New Roman"/>
          <w:sz w:val="28"/>
        </w:rPr>
        <w:t xml:space="preserve"> 58,3 процента ( с 1929,0 тыс</w:t>
      </w:r>
      <w:proofErr w:type="gramStart"/>
      <w:r w:rsidR="002C6F8B">
        <w:rPr>
          <w:rFonts w:ascii="Times New Roman" w:hAnsi="Times New Roman" w:cs="Times New Roman"/>
          <w:sz w:val="28"/>
        </w:rPr>
        <w:t>.р</w:t>
      </w:r>
      <w:proofErr w:type="gramEnd"/>
      <w:r w:rsidR="002C6F8B">
        <w:rPr>
          <w:rFonts w:ascii="Times New Roman" w:hAnsi="Times New Roman" w:cs="Times New Roman"/>
          <w:sz w:val="28"/>
        </w:rPr>
        <w:t>ублей до 804,2 тыс.рублей).</w:t>
      </w:r>
    </w:p>
    <w:p w:rsidR="00911BCD" w:rsidRDefault="002C6F8B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контрольного мероприятия  Учреждением предоставлены</w:t>
      </w:r>
      <w:r w:rsidR="00C56FDD">
        <w:rPr>
          <w:rFonts w:ascii="Times New Roman" w:hAnsi="Times New Roman" w:cs="Times New Roman"/>
          <w:sz w:val="28"/>
        </w:rPr>
        <w:t xml:space="preserve">  акты сверок расчетов  с </w:t>
      </w:r>
      <w:proofErr w:type="spellStart"/>
      <w:r w:rsidR="00C56FDD">
        <w:rPr>
          <w:rFonts w:ascii="Times New Roman" w:hAnsi="Times New Roman" w:cs="Times New Roman"/>
          <w:sz w:val="28"/>
        </w:rPr>
        <w:t>ресурсо</w:t>
      </w:r>
      <w:r>
        <w:rPr>
          <w:rFonts w:ascii="Times New Roman" w:hAnsi="Times New Roman" w:cs="Times New Roman"/>
          <w:sz w:val="28"/>
        </w:rPr>
        <w:t>снабжающими</w:t>
      </w:r>
      <w:proofErr w:type="spellEnd"/>
      <w:r>
        <w:rPr>
          <w:rFonts w:ascii="Times New Roman" w:hAnsi="Times New Roman" w:cs="Times New Roman"/>
          <w:sz w:val="28"/>
        </w:rPr>
        <w:t xml:space="preserve">  организациями</w:t>
      </w:r>
      <w:r w:rsidR="005B28F2">
        <w:rPr>
          <w:rFonts w:ascii="Times New Roman" w:hAnsi="Times New Roman" w:cs="Times New Roman"/>
          <w:sz w:val="28"/>
        </w:rPr>
        <w:t>, в том числе за 2014 год-</w:t>
      </w:r>
      <w:r w:rsidR="0067487D">
        <w:rPr>
          <w:rFonts w:ascii="Times New Roman" w:hAnsi="Times New Roman" w:cs="Times New Roman"/>
          <w:sz w:val="28"/>
        </w:rPr>
        <w:t>14  акто</w:t>
      </w:r>
      <w:proofErr w:type="gramStart"/>
      <w:r w:rsidR="0067487D">
        <w:rPr>
          <w:rFonts w:ascii="Times New Roman" w:hAnsi="Times New Roman" w:cs="Times New Roman"/>
          <w:sz w:val="28"/>
        </w:rPr>
        <w:t>в(</w:t>
      </w:r>
      <w:proofErr w:type="gramEnd"/>
      <w:r w:rsidR="0067487D">
        <w:rPr>
          <w:rFonts w:ascii="Times New Roman" w:hAnsi="Times New Roman" w:cs="Times New Roman"/>
          <w:sz w:val="28"/>
        </w:rPr>
        <w:t xml:space="preserve">по расчетам за электроэнергию-4, за теплоснабжение- 6, за водоотведение и водоснабжение-4), за 2015 год-10 актов(  по расчетам за электроэнергию- 3,  за теплоэнергию-3, за водоснабжение и водоотведение- -4), за 2016 год-14 актов(по расчетам за электроэнергию- 4,  по </w:t>
      </w:r>
      <w:proofErr w:type="spellStart"/>
      <w:r w:rsidR="0067487D">
        <w:rPr>
          <w:rFonts w:ascii="Times New Roman" w:hAnsi="Times New Roman" w:cs="Times New Roman"/>
          <w:sz w:val="28"/>
        </w:rPr>
        <w:t>теплоэнергии</w:t>
      </w:r>
      <w:proofErr w:type="spellEnd"/>
      <w:r w:rsidR="0067487D">
        <w:rPr>
          <w:rFonts w:ascii="Times New Roman" w:hAnsi="Times New Roman" w:cs="Times New Roman"/>
          <w:sz w:val="28"/>
        </w:rPr>
        <w:t>- 5, за водоснабжение и водоотведение- 5), за 1 полугодие 2017 года- 6 актов.</w:t>
      </w:r>
      <w:r w:rsidR="00911BCD">
        <w:rPr>
          <w:rFonts w:ascii="Times New Roman" w:hAnsi="Times New Roman" w:cs="Times New Roman"/>
          <w:sz w:val="28"/>
        </w:rPr>
        <w:t xml:space="preserve"> </w:t>
      </w:r>
    </w:p>
    <w:p w:rsidR="00911BCD" w:rsidRDefault="00911BCD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11BCD" w:rsidRPr="00911BCD" w:rsidRDefault="00911BCD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11BCD">
        <w:rPr>
          <w:rFonts w:ascii="Times New Roman" w:hAnsi="Times New Roman" w:cs="Times New Roman"/>
          <w:b/>
          <w:sz w:val="28"/>
        </w:rPr>
        <w:t xml:space="preserve">  Проверка законности использования средств бюджета на оплату коммунальных услуг, а также на мероприятия в области энергосбережения и энергетической эффективности</w:t>
      </w:r>
    </w:p>
    <w:p w:rsidR="00911BCD" w:rsidRDefault="00911BC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Положение  об  учетной политике  Учреждения утверждено приказом   директора от 02.11.2016 № 29Мбук-од «Об учетной политике  для целей бухгалтерского учета», также в проверяемый период действовало Положение, утвержденное Приказом от 11.01.2011 № 02/1 Мук-ОД.</w:t>
      </w:r>
    </w:p>
    <w:p w:rsidR="00911BCD" w:rsidRDefault="00911BCD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соответствие с пунктом  2 Положения об учетной политике бухгалтерский и налоговый учет ведется   бухгалтерией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7D7CD6">
        <w:rPr>
          <w:rFonts w:ascii="Times New Roman" w:hAnsi="Times New Roman" w:cs="Times New Roman"/>
          <w:sz w:val="28"/>
        </w:rPr>
        <w:t>,</w:t>
      </w:r>
      <w:proofErr w:type="gramEnd"/>
      <w:r w:rsidR="007D7CD6">
        <w:rPr>
          <w:rFonts w:ascii="Times New Roman" w:hAnsi="Times New Roman" w:cs="Times New Roman"/>
          <w:sz w:val="28"/>
        </w:rPr>
        <w:t xml:space="preserve"> которая является самостоятельным </w:t>
      </w:r>
      <w:r w:rsidR="00BB753C">
        <w:rPr>
          <w:rFonts w:ascii="Times New Roman" w:hAnsi="Times New Roman" w:cs="Times New Roman"/>
          <w:sz w:val="28"/>
        </w:rPr>
        <w:t xml:space="preserve"> структурным </w:t>
      </w:r>
      <w:r w:rsidR="007D7CD6">
        <w:rPr>
          <w:rFonts w:ascii="Times New Roman" w:hAnsi="Times New Roman" w:cs="Times New Roman"/>
          <w:sz w:val="28"/>
        </w:rPr>
        <w:t xml:space="preserve"> подразделением и возглавляется главным бухгалтером.</w:t>
      </w:r>
    </w:p>
    <w:p w:rsidR="007D7CD6" w:rsidRDefault="007D7CD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Бухгалтерский учет  в Учреждении осуществляется  не в автоматизированной системе.</w:t>
      </w:r>
    </w:p>
    <w:p w:rsidR="007D7CD6" w:rsidRDefault="007D7CD6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проверке правильности и законности расчетов с поставщиками и подрядчиками по  расчетам за коммунальные услуги установлено следующее:</w:t>
      </w:r>
    </w:p>
    <w:p w:rsidR="00BB753C" w:rsidRDefault="00BB753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В проверяемом периоде  Учреждением заключено   </w:t>
      </w:r>
      <w:r w:rsidR="005456A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753C">
        <w:rPr>
          <w:rFonts w:ascii="Times New Roman" w:hAnsi="Times New Roman" w:cs="Times New Roman"/>
          <w:sz w:val="28"/>
          <w:szCs w:val="28"/>
        </w:rPr>
        <w:t>договоров</w:t>
      </w:r>
      <w:r w:rsidR="001E20B5">
        <w:rPr>
          <w:rFonts w:ascii="Times New Roman" w:hAnsi="Times New Roman" w:cs="Times New Roman"/>
          <w:sz w:val="28"/>
          <w:szCs w:val="28"/>
        </w:rPr>
        <w:t xml:space="preserve"> на оказание коммунальных услу</w:t>
      </w:r>
      <w:proofErr w:type="gramStart"/>
      <w:r w:rsidR="001E20B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20B5">
        <w:rPr>
          <w:rFonts w:ascii="Times New Roman" w:hAnsi="Times New Roman" w:cs="Times New Roman"/>
          <w:sz w:val="28"/>
          <w:szCs w:val="28"/>
        </w:rPr>
        <w:t>информация о договорах приведена в приложении к акту).</w:t>
      </w:r>
    </w:p>
    <w:p w:rsidR="0091146E" w:rsidRDefault="0091146E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6E" w:rsidRPr="0067487D" w:rsidRDefault="0091146E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3C" w:rsidRPr="00BB753C" w:rsidRDefault="00BB753C" w:rsidP="001A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753C">
        <w:rPr>
          <w:rFonts w:ascii="Times New Roman" w:hAnsi="Times New Roman" w:cs="Times New Roman"/>
          <w:b/>
          <w:sz w:val="28"/>
          <w:szCs w:val="28"/>
        </w:rPr>
        <w:t>Проверка наличия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753C">
        <w:rPr>
          <w:rFonts w:ascii="Times New Roman" w:hAnsi="Times New Roman" w:cs="Times New Roman"/>
          <w:b/>
          <w:sz w:val="28"/>
          <w:szCs w:val="28"/>
        </w:rPr>
        <w:t>неиспользуемого</w:t>
      </w:r>
      <w:r w:rsidR="001A6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53C">
        <w:rPr>
          <w:rFonts w:ascii="Times New Roman" w:hAnsi="Times New Roman" w:cs="Times New Roman"/>
          <w:b/>
          <w:sz w:val="28"/>
          <w:szCs w:val="28"/>
        </w:rPr>
        <w:t>(используемого не по назначению) имущества, в отношении которого Учреждением осуществляются расчеты по оплате коммунальных услуг</w:t>
      </w:r>
    </w:p>
    <w:p w:rsidR="00E57863" w:rsidRDefault="00BB753C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75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753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 xml:space="preserve"> данным бухгалтерского учета  за Учреждением  на праве оперативного управления </w:t>
      </w:r>
      <w:r w:rsidRPr="00BB753C">
        <w:rPr>
          <w:rFonts w:ascii="Times New Roman" w:hAnsi="Times New Roman" w:cs="Times New Roman"/>
          <w:sz w:val="28"/>
        </w:rPr>
        <w:t xml:space="preserve"> </w:t>
      </w:r>
      <w:r w:rsidR="00E57863">
        <w:rPr>
          <w:rFonts w:ascii="Times New Roman" w:hAnsi="Times New Roman" w:cs="Times New Roman"/>
          <w:sz w:val="28"/>
        </w:rPr>
        <w:t>закреплены следующие объекты:</w:t>
      </w:r>
    </w:p>
    <w:p w:rsidR="00E57863" w:rsidRDefault="00E5786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 Районного дома культуры площадью 638,1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53:01:0010306:59, свидетельство о регистрации 53-АБ №170235 от 05.02.2013;</w:t>
      </w:r>
    </w:p>
    <w:p w:rsidR="00E57863" w:rsidRDefault="00E5786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</w:t>
      </w:r>
      <w:proofErr w:type="spellStart"/>
      <w:r>
        <w:rPr>
          <w:rFonts w:ascii="Times New Roman" w:hAnsi="Times New Roman" w:cs="Times New Roman"/>
          <w:sz w:val="28"/>
        </w:rPr>
        <w:t>Вольногорского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дома культуры площадью 677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свидетельство о регистрации   53-АБ</w:t>
      </w:r>
      <w:r w:rsidR="00BB753C" w:rsidRPr="00BB75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№244391 от 01.11.2013, кадастровый номер 53:01:0030601:451;</w:t>
      </w:r>
    </w:p>
    <w:p w:rsidR="00BB753C" w:rsidRDefault="00E5786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</w:t>
      </w:r>
      <w:proofErr w:type="spellStart"/>
      <w:r>
        <w:rPr>
          <w:rFonts w:ascii="Times New Roman" w:hAnsi="Times New Roman" w:cs="Times New Roman"/>
          <w:sz w:val="28"/>
        </w:rPr>
        <w:t>Мелковичского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дома культуры</w:t>
      </w:r>
      <w:r w:rsidR="00BB753C" w:rsidRPr="00BB75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площадью 927,3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свидетельство о  регистрации  53-АБ  № 244741 от 23.12.2013, кадастровый номер 53:01:0071401:493;</w:t>
      </w:r>
    </w:p>
    <w:p w:rsidR="004641DA" w:rsidRDefault="00E57863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</w:t>
      </w:r>
      <w:proofErr w:type="spellStart"/>
      <w:r>
        <w:rPr>
          <w:rFonts w:ascii="Times New Roman" w:hAnsi="Times New Roman" w:cs="Times New Roman"/>
          <w:sz w:val="28"/>
        </w:rPr>
        <w:t>Мойкинского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дома культуры площадью 265,3 м 2, кадастровый номер 53:01:000000:304, свидетельство</w:t>
      </w:r>
      <w:r w:rsidR="004641D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 xml:space="preserve"> регистрации </w:t>
      </w:r>
      <w:r w:rsidR="004641DA">
        <w:rPr>
          <w:rFonts w:ascii="Times New Roman" w:hAnsi="Times New Roman" w:cs="Times New Roman"/>
          <w:sz w:val="28"/>
        </w:rPr>
        <w:t xml:space="preserve"> 53-АБ  от 25.11.2013;</w:t>
      </w:r>
    </w:p>
    <w:p w:rsidR="004641DA" w:rsidRDefault="004641DA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</w:t>
      </w:r>
      <w:r w:rsidR="00E578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Городенского сельского дома культуры площадью 419,9м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свидетельство о регистрации  53-АБ № 170229 от 05.02.2013, кадастровый номер 53:01:0052901:435;</w:t>
      </w:r>
    </w:p>
    <w:p w:rsidR="004641DA" w:rsidRDefault="004641DA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</w:t>
      </w:r>
      <w:proofErr w:type="spellStart"/>
      <w:r>
        <w:rPr>
          <w:rFonts w:ascii="Times New Roman" w:hAnsi="Times New Roman" w:cs="Times New Roman"/>
          <w:sz w:val="28"/>
        </w:rPr>
        <w:t>Овсинского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дома культуры площадью 976,3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   кадастровый номер 53:01:0112701:275;</w:t>
      </w:r>
    </w:p>
    <w:p w:rsidR="004641DA" w:rsidRDefault="004641DA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центра «Краевед» площадью 247,6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57863" w:rsidRDefault="004641DA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Здание </w:t>
      </w:r>
      <w:proofErr w:type="spellStart"/>
      <w:r>
        <w:rPr>
          <w:rFonts w:ascii="Times New Roman" w:hAnsi="Times New Roman" w:cs="Times New Roman"/>
          <w:sz w:val="28"/>
        </w:rPr>
        <w:t>Мелковичского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дома культуры  не используется и  законсервировано  по причине отсутствия средств на его содержание, </w:t>
      </w:r>
      <w:proofErr w:type="gramStart"/>
      <w:r>
        <w:rPr>
          <w:rFonts w:ascii="Times New Roman" w:hAnsi="Times New Roman" w:cs="Times New Roman"/>
          <w:sz w:val="28"/>
        </w:rPr>
        <w:t>расходы</w:t>
      </w:r>
      <w:proofErr w:type="gramEnd"/>
      <w:r>
        <w:rPr>
          <w:rFonts w:ascii="Times New Roman" w:hAnsi="Times New Roman" w:cs="Times New Roman"/>
          <w:sz w:val="28"/>
        </w:rPr>
        <w:t xml:space="preserve"> на  оплату  коммунальных услуг начиная с 2016 года отсутствуют.</w:t>
      </w:r>
    </w:p>
    <w:p w:rsidR="004641DA" w:rsidRDefault="004641DA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Договора аренды недвижимого имущества  со сторонними организациями не заключались.</w:t>
      </w:r>
    </w:p>
    <w:p w:rsidR="004641DA" w:rsidRDefault="004F494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F494E">
        <w:rPr>
          <w:rFonts w:ascii="Times New Roman" w:hAnsi="Times New Roman" w:cs="Times New Roman"/>
          <w:b/>
          <w:sz w:val="28"/>
        </w:rPr>
        <w:t>Эффективность использования бюджетных средств, направленных Учреждением на мероприятия в области энергосбережения и энергетической эффективности</w:t>
      </w:r>
    </w:p>
    <w:p w:rsidR="004F494E" w:rsidRDefault="004F494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Потребление  энергетических ресурсов в Учреждении представлено: потреблением  электрической энергии, тепловой энергии, холодным водопотреблением.</w:t>
      </w:r>
    </w:p>
    <w:p w:rsidR="004F494E" w:rsidRDefault="004F494E" w:rsidP="001A65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Данные  об объемах потребления  Учреждением  коммунальных услуг в разрезе видов услуг  приведены </w:t>
      </w:r>
      <w:r w:rsidR="00D93BBC">
        <w:rPr>
          <w:rFonts w:ascii="Times New Roman" w:hAnsi="Times New Roman" w:cs="Times New Roman"/>
          <w:sz w:val="28"/>
        </w:rPr>
        <w:t xml:space="preserve"> в диаграммах</w:t>
      </w:r>
      <w:proofErr w:type="gramStart"/>
      <w:r w:rsidR="00D93BBC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B68EB" w:rsidRPr="002B68EB" w:rsidRDefault="002B68EB" w:rsidP="001A65CE">
      <w:pPr>
        <w:pStyle w:val="a6"/>
        <w:keepNext/>
        <w:spacing w:after="0"/>
        <w:jc w:val="center"/>
        <w:rPr>
          <w:sz w:val="32"/>
          <w:szCs w:val="32"/>
        </w:rPr>
      </w:pPr>
      <w:r w:rsidRPr="002B68EB">
        <w:rPr>
          <w:sz w:val="32"/>
          <w:szCs w:val="32"/>
        </w:rPr>
        <w:t xml:space="preserve">Электроснабжение </w:t>
      </w:r>
    </w:p>
    <w:p w:rsidR="00D93BBC" w:rsidRDefault="002B68EB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24425" cy="2276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BCD" w:rsidRDefault="001A65CE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Объем потребления электроэнергии  имеет тенденцию  к снижению. Так в 2016 году потребление электроэнергии снизилось по сравнению с 2014 годом на 12,1 процент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 с 29413 </w:t>
      </w:r>
      <w:proofErr w:type="spellStart"/>
      <w:r>
        <w:rPr>
          <w:rFonts w:ascii="Times New Roman" w:hAnsi="Times New Roman" w:cs="Times New Roman"/>
          <w:sz w:val="28"/>
        </w:rPr>
        <w:t>кВт,часов</w:t>
      </w:r>
      <w:proofErr w:type="spellEnd"/>
      <w:r>
        <w:rPr>
          <w:rFonts w:ascii="Times New Roman" w:hAnsi="Times New Roman" w:cs="Times New Roman"/>
          <w:sz w:val="28"/>
        </w:rPr>
        <w:t xml:space="preserve"> до 25858 кВт, часов)</w:t>
      </w:r>
      <w:r w:rsidR="002A3495">
        <w:rPr>
          <w:rFonts w:ascii="Times New Roman" w:hAnsi="Times New Roman" w:cs="Times New Roman"/>
          <w:sz w:val="28"/>
        </w:rPr>
        <w:t>.</w:t>
      </w:r>
      <w:r w:rsidR="00911BCD">
        <w:rPr>
          <w:rFonts w:ascii="Times New Roman" w:hAnsi="Times New Roman" w:cs="Times New Roman"/>
          <w:sz w:val="28"/>
        </w:rPr>
        <w:t xml:space="preserve"> </w:t>
      </w:r>
    </w:p>
    <w:p w:rsidR="009141F4" w:rsidRPr="009141F4" w:rsidRDefault="009141F4" w:rsidP="009141F4">
      <w:pPr>
        <w:pStyle w:val="a6"/>
        <w:keepNext/>
        <w:jc w:val="center"/>
        <w:rPr>
          <w:sz w:val="28"/>
          <w:szCs w:val="28"/>
        </w:rPr>
      </w:pPr>
      <w:r w:rsidRPr="009141F4">
        <w:rPr>
          <w:sz w:val="28"/>
          <w:szCs w:val="28"/>
        </w:rPr>
        <w:t xml:space="preserve">Водоснабжение </w:t>
      </w:r>
    </w:p>
    <w:p w:rsidR="00911BCD" w:rsidRDefault="00DA0F0C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24425" cy="2409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3495" w:rsidRDefault="002A3495" w:rsidP="002A34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Объем потребления  холодного водоснабжения  имеет ежегодный прирост, так в 2015 году рост потребления в натуральном выражении по отношению к 2014 году составил 25,86 процента, в 2016 году по отношению к 2015 году – 1,5 процента.</w:t>
      </w:r>
    </w:p>
    <w:p w:rsidR="002A3495" w:rsidRDefault="002A3495" w:rsidP="002A3495">
      <w:pPr>
        <w:jc w:val="both"/>
        <w:rPr>
          <w:sz w:val="28"/>
          <w:szCs w:val="28"/>
        </w:rPr>
      </w:pPr>
    </w:p>
    <w:p w:rsidR="002A3495" w:rsidRDefault="002A3495" w:rsidP="002A3495">
      <w:pPr>
        <w:jc w:val="both"/>
        <w:rPr>
          <w:sz w:val="28"/>
          <w:szCs w:val="28"/>
        </w:rPr>
      </w:pPr>
    </w:p>
    <w:p w:rsidR="002A3495" w:rsidRDefault="002A3495" w:rsidP="002A3495">
      <w:pPr>
        <w:jc w:val="both"/>
        <w:rPr>
          <w:sz w:val="28"/>
          <w:szCs w:val="28"/>
        </w:rPr>
      </w:pPr>
    </w:p>
    <w:p w:rsidR="002A3495" w:rsidRDefault="002A3495" w:rsidP="002A3495">
      <w:pPr>
        <w:jc w:val="both"/>
        <w:rPr>
          <w:sz w:val="28"/>
          <w:szCs w:val="28"/>
        </w:rPr>
      </w:pPr>
    </w:p>
    <w:p w:rsidR="002A3495" w:rsidRDefault="002A3495" w:rsidP="002A3495">
      <w:pPr>
        <w:jc w:val="both"/>
        <w:rPr>
          <w:sz w:val="28"/>
          <w:szCs w:val="28"/>
        </w:rPr>
      </w:pPr>
    </w:p>
    <w:p w:rsidR="000203C7" w:rsidRPr="000203C7" w:rsidRDefault="002A3495" w:rsidP="002A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203C7" w:rsidRPr="000203C7">
        <w:rPr>
          <w:sz w:val="28"/>
          <w:szCs w:val="28"/>
        </w:rPr>
        <w:t xml:space="preserve">Водоотведение </w:t>
      </w:r>
    </w:p>
    <w:p w:rsidR="009141F4" w:rsidRDefault="009141F4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14900" cy="23526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3495" w:rsidRDefault="002A3495" w:rsidP="000203C7">
      <w:pPr>
        <w:pStyle w:val="a6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Объемы  водоотведения  ежегодно увеличиваются</w:t>
      </w:r>
      <w:r w:rsidR="00A55ED9">
        <w:rPr>
          <w:sz w:val="28"/>
          <w:szCs w:val="28"/>
        </w:rPr>
        <w:t>, и если в 2015 году увеличение  по отношению к 2014 году  было малозначительны</w:t>
      </w:r>
      <w:proofErr w:type="gramStart"/>
      <w:r w:rsidR="00A55ED9">
        <w:rPr>
          <w:sz w:val="28"/>
          <w:szCs w:val="28"/>
        </w:rPr>
        <w:t>м-</w:t>
      </w:r>
      <w:proofErr w:type="gramEnd"/>
      <w:r w:rsidR="00A55ED9">
        <w:rPr>
          <w:sz w:val="28"/>
          <w:szCs w:val="28"/>
        </w:rPr>
        <w:t xml:space="preserve"> на 2,87 процента,  то в 2016 году увеличение по отношению к 2015 году составило 39,66 процента.</w:t>
      </w:r>
    </w:p>
    <w:p w:rsidR="002A3495" w:rsidRDefault="002A3495" w:rsidP="000203C7">
      <w:pPr>
        <w:pStyle w:val="a6"/>
        <w:keepNext/>
        <w:jc w:val="center"/>
        <w:rPr>
          <w:sz w:val="28"/>
          <w:szCs w:val="28"/>
        </w:rPr>
      </w:pPr>
    </w:p>
    <w:p w:rsidR="000203C7" w:rsidRPr="000203C7" w:rsidRDefault="000203C7" w:rsidP="000203C7">
      <w:pPr>
        <w:pStyle w:val="a6"/>
        <w:keepNext/>
        <w:jc w:val="center"/>
        <w:rPr>
          <w:sz w:val="28"/>
          <w:szCs w:val="28"/>
        </w:rPr>
      </w:pPr>
      <w:r w:rsidRPr="000203C7">
        <w:rPr>
          <w:sz w:val="28"/>
          <w:szCs w:val="28"/>
        </w:rPr>
        <w:t>Теплоснабжение</w:t>
      </w:r>
    </w:p>
    <w:p w:rsidR="000203C7" w:rsidRDefault="000203C7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48225" cy="22669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ED9" w:rsidRDefault="00A55ED9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Объем потребленной тепловой энергии</w:t>
      </w:r>
      <w:r w:rsidR="00FD6700">
        <w:rPr>
          <w:rFonts w:ascii="Times New Roman" w:hAnsi="Times New Roman" w:cs="Times New Roman"/>
          <w:sz w:val="28"/>
        </w:rPr>
        <w:t xml:space="preserve"> в 2015 году снизился  по отношению к 2014 году на 7,66 процента,  в 2016 году увеличился по отношению к 2015 году  </w:t>
      </w:r>
      <w:proofErr w:type="gramStart"/>
      <w:r w:rsidR="00FD6700">
        <w:rPr>
          <w:rFonts w:ascii="Times New Roman" w:hAnsi="Times New Roman" w:cs="Times New Roman"/>
          <w:sz w:val="28"/>
        </w:rPr>
        <w:t>на</w:t>
      </w:r>
      <w:proofErr w:type="gramEnd"/>
      <w:r w:rsidR="00FD6700">
        <w:rPr>
          <w:rFonts w:ascii="Times New Roman" w:hAnsi="Times New Roman" w:cs="Times New Roman"/>
          <w:sz w:val="28"/>
        </w:rPr>
        <w:t xml:space="preserve"> </w:t>
      </w:r>
      <w:r w:rsidR="004333FC">
        <w:rPr>
          <w:rFonts w:ascii="Times New Roman" w:hAnsi="Times New Roman" w:cs="Times New Roman"/>
          <w:sz w:val="28"/>
        </w:rPr>
        <w:t xml:space="preserve"> </w:t>
      </w:r>
      <w:r w:rsidR="00FD6700">
        <w:rPr>
          <w:rFonts w:ascii="Times New Roman" w:hAnsi="Times New Roman" w:cs="Times New Roman"/>
          <w:sz w:val="28"/>
        </w:rPr>
        <w:t>22,32 процента.</w:t>
      </w:r>
    </w:p>
    <w:p w:rsidR="004333FC" w:rsidRDefault="004333FC" w:rsidP="004C11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Подробная информация об объемах потребления коммунальных услуг  приведена в приложениях к акту проверки.</w:t>
      </w:r>
    </w:p>
    <w:p w:rsidR="001A65CE" w:rsidRDefault="004333FC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В законодательстве Российской Федерации  единый нормативный правовой акт, определяющий порядок  установления цен (тарифов)  в жилищно-коммунальном комплексе отсутствует. Регулирование цен  (тарифов) осуществляется отдельными Федеральными законами и значительным количеством  ведомственных подзаконных нормативных правовых актов</w:t>
      </w:r>
      <w:r w:rsidR="001603B1">
        <w:rPr>
          <w:rFonts w:ascii="Times New Roman" w:hAnsi="Times New Roman" w:cs="Times New Roman"/>
          <w:sz w:val="28"/>
        </w:rPr>
        <w:t xml:space="preserve">, из которых существенную часть составляют   документы Федеральной службы </w:t>
      </w:r>
      <w:r w:rsidR="001603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тарифам, определяющие порядок регулирования цен (тарифов)  в различных отраслях экономики ( включая коммунальный комплекс).</w:t>
      </w:r>
    </w:p>
    <w:p w:rsidR="001603B1" w:rsidRDefault="001603B1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ходе контрольного мероприятия  на основании выставленных счетов ресурс снабжающих организаций  проанализированы  цены (тарифы)  на электроснабжение, теплоснабжение, водоснабжение и водоотведение.</w:t>
      </w:r>
    </w:p>
    <w:p w:rsidR="004626EF" w:rsidRDefault="001603B1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Размер тарифов</w:t>
      </w:r>
      <w:r w:rsidR="00DB63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(цен)  и их рост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коммунальные услуги</w:t>
      </w:r>
      <w:r w:rsidR="00DB63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электроэнергию, водоснабжение и водоотведение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приведен в следующей диаграмме</w:t>
      </w:r>
    </w:p>
    <w:p w:rsidR="004626EF" w:rsidRDefault="00262CAC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705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6EF" w:rsidRPr="00DB6327" w:rsidRDefault="00DB6327" w:rsidP="00F3752F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Рост цен(тарифов)  на теплоснабжение</w:t>
      </w:r>
      <w:r w:rsidR="008B70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514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6EF" w:rsidRDefault="00A45A0A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Из данных  диаграмм видно, что цены (тарифы) на коммунальные услуги ежегодно возрастают, что обуславливается разными  причинами, в том </w:t>
      </w:r>
      <w:r w:rsidR="00F375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числе ростом инфляции, изменением цен на  топливно-</w:t>
      </w:r>
      <w:r w:rsidR="00B26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энергетический ресурсы  и другими факторами.</w:t>
      </w:r>
    </w:p>
    <w:p w:rsidR="00B26745" w:rsidRDefault="00B26745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2015 году  фактический рост цен ( тарифов) к уровню 2014 года составил на электроэнергию  9,38 процента, на вооотведение- 8,7 процента, по теплоснабжению – 4,2 процента  а тариф  по водоснабжению снизился 14,94 процента. </w:t>
      </w:r>
    </w:p>
    <w:p w:rsidR="00B26745" w:rsidRDefault="00B26745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2016 году  рост тарифов по электроэнергии составил 7,2 процента</w:t>
      </w:r>
      <w:r w:rsidR="00D41FB2">
        <w:rPr>
          <w:rFonts w:ascii="Times New Roman" w:hAnsi="Times New Roman" w:cs="Times New Roman"/>
          <w:noProof/>
          <w:sz w:val="28"/>
          <w:szCs w:val="28"/>
          <w:lang w:eastAsia="ru-RU"/>
        </w:rPr>
        <w:t>, на водоотведение- 26,6 процента, по теплоснабжению- 7 процентов, водоотведению -1,02 процента.</w:t>
      </w:r>
    </w:p>
    <w:p w:rsidR="00D41FB2" w:rsidRDefault="00D41FB2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В соответствии с основными показателями уточненного прогноза  социально-экономического развития Новгородской области  на 2017 и плановый период  2018 и 2019 годов индекс тарифов для различных категорий потребителей в 2014 году составил – 5,8 процента, в 2015 году- 6,7 процента, в 2016 году – 7,78 процента.</w:t>
      </w:r>
    </w:p>
    <w:p w:rsidR="00D41FB2" w:rsidRDefault="00D41FB2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2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41F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C2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Проверка наличия энергетических    паспортов , их соответствия установленным требованиям, анализ</w:t>
      </w:r>
      <w:r w:rsidR="00D41F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2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полноты реализации мероприятий</w:t>
      </w:r>
      <w:r w:rsidR="00C24A54" w:rsidRPr="00C2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обозначенных в энергетических пас</w:t>
      </w:r>
      <w:r w:rsidR="00D41F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C24A54" w:rsidRPr="00C2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ортах и иных мероприятий по энергосбережению.</w:t>
      </w:r>
    </w:p>
    <w:p w:rsidR="004626EF" w:rsidRDefault="00C24A54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Start"/>
      <w:r w:rsidRPr="00C24A5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время проверки было установлено отсутствие энергетических паспортов ,  в качестве пояснения по данному вопросу было  предъявлено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Постановление  Мирового судьи судебного  участка  № 20 Солецкого  судебного района  Новгородской области  о расссмотрении материалов дела об административном правонарушении , предусмотренном ч.1 ст.19.5 КоАП  РФ в отношении руководителя  Учреждения МБУКИ «Батецкий</w:t>
      </w:r>
      <w:r w:rsidR="00DB63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межпоселенческий центр  культуры и досуга», вынесенное  государственным инспектором отдела по государственному энергетическому надзору</w:t>
      </w:r>
      <w:proofErr w:type="gramEnd"/>
      <w:r w:rsidR="00DB63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 Новгородской области Северо-Западного управления  Ростехнадзора</w:t>
      </w:r>
      <w:r w:rsidR="002E63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предмет невыполненного  ранее выданного предписания от 12 апреля 2016 года № 38-2329-1003/ПР о проведении обязательного  энергетического обследования  в установленный законом срок.</w:t>
      </w:r>
    </w:p>
    <w:p w:rsidR="002E6343" w:rsidRDefault="002E6343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результате рассмотрения представленных материалов суд вынес определение о том, что вынесенное предписание о проведении обязательного энергетического обследования не может быть признано судом законным, в действиях руководителя Учреждения отсутствует состав ад</w:t>
      </w:r>
      <w:r w:rsidR="00A45A0A">
        <w:rPr>
          <w:rFonts w:ascii="Times New Roman" w:hAnsi="Times New Roman" w:cs="Times New Roman"/>
          <w:noProof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нистративного  правонарушения, и , согласно  ст. 29.9   КоАП РФ  при таких обстоятельствах выносится постановление о прекращении производства по делу  об административном правонарушении. </w:t>
      </w:r>
      <w:proofErr w:type="gramEnd"/>
    </w:p>
    <w:p w:rsidR="00D41FB2" w:rsidRDefault="00D41FB2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целях  реализации статьи 25  Федерального закона  №  261-ФЗ  </w:t>
      </w:r>
      <w:r w:rsidR="003136BE">
        <w:rPr>
          <w:rFonts w:ascii="Times New Roman" w:hAnsi="Times New Roman" w:cs="Times New Roman"/>
          <w:noProof/>
          <w:sz w:val="28"/>
          <w:szCs w:val="28"/>
          <w:lang w:eastAsia="ru-RU"/>
        </w:rPr>
        <w:t>в Батецком муницйипальном районе была разработана</w:t>
      </w:r>
      <w:r w:rsidR="00E43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утверждена</w:t>
      </w:r>
      <w:r w:rsidR="00313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68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Постановлением Администрации муниципального района </w:t>
      </w:r>
      <w:r w:rsidR="00313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муниципальная программа </w:t>
      </w:r>
      <w:r w:rsidR="00E43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02.0</w:t>
      </w:r>
      <w:r w:rsidR="00FC1D2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4334C">
        <w:rPr>
          <w:rFonts w:ascii="Times New Roman" w:hAnsi="Times New Roman" w:cs="Times New Roman"/>
          <w:noProof/>
          <w:sz w:val="28"/>
          <w:szCs w:val="28"/>
          <w:lang w:eastAsia="ru-RU"/>
        </w:rPr>
        <w:t>.2015 № 159</w:t>
      </w:r>
      <w:r w:rsidR="00313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Энергосбережение  в Батецком муниципальном районе на 2015-2017 годы».  Соисполнителями муниципальной программы выступили в частности  Комитет культуры, кино и туризма Администрации  муниципального района.</w:t>
      </w:r>
      <w:r w:rsidR="00FC1D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C1D22" w:rsidRDefault="00FC1D22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Программа на 2015-2017 годы  включает в себя: паспорт программы;  цели, задачи и целевые показатели ; сроки реализации;  объемы и источники финансирования в целом и по годам реализации; ожидаемые конечные  результаты реалицации муниципальной программы по годам; </w:t>
      </w:r>
    </w:p>
    <w:p w:rsidR="009F6F8F" w:rsidRDefault="009F6F8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Start"/>
      <w:r w:rsidR="008F18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Общий объем  финансирования </w:t>
      </w:r>
      <w:r w:rsidR="006E68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18E0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Программы  составил 3540,0 тыс.рублей( по  1180 тыс.рублей  ежегодно на 2015-2017 годы).Этапами реализации  Задачи 1 по обеспечению перехода на энергосберегающий режим функционирования учреждений и предприятий в целях сокращения бюджетных расходов предусмотрены  замены ламп накаливания на энергосберегающие лампы для   Комитета культуры, кино и туризма  на сумму 10 тыс.рублей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ежегодно на период 2015-2017 годы</w:t>
      </w:r>
      <w:r w:rsidR="008F18E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9F6F8F" w:rsidRDefault="009F6F8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реализацию   задачи по  рациональному использоваию  энергетических ресурсов за счет реализации энергосберегающих мероприятий и повышению энергетической эффективности  за счет содержания узлов  учета  холодной воды, тепловой и электрической энергии  в нормативном состоянии  по Комитету культуры, кино и туризма  предусмотрены денежные средства в сумме  по 50,0 тыс.рублей ежегодно.</w:t>
      </w:r>
      <w:proofErr w:type="gramEnd"/>
    </w:p>
    <w:p w:rsidR="009F6F8F" w:rsidRDefault="009F6F8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На проведение ремонтных работ, влияющих на теплоизоляцию зданий и сооружений </w:t>
      </w:r>
      <w:r w:rsidR="006E684A">
        <w:rPr>
          <w:rFonts w:ascii="Times New Roman" w:hAnsi="Times New Roman" w:cs="Times New Roman"/>
          <w:noProof/>
          <w:sz w:val="28"/>
          <w:szCs w:val="28"/>
          <w:lang w:eastAsia="ru-RU"/>
        </w:rPr>
        <w:t>: замене  оконных и дверных блоков в металлопластиковом исполнении, утепление перекрытий зданий,  помывку систем отопления, ремрнт печного оборудования  по Комитету культуры, кино и туризму предусматривались средства  в сумме 500,0 тыс.рублей ежегодно  в 2015-2017 годах.</w:t>
      </w:r>
    </w:p>
    <w:p w:rsidR="006E684A" w:rsidRDefault="006E684A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 действующую Программу  в течение 2016 года были  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>триж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ды  внесены изменения Постановлениями Администрации муниципального района , а именно  от 22.03.2016 № 178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19.07.2016 № 418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 от 26</w:t>
      </w:r>
      <w:r w:rsidR="00383D5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>12.2016 № 757.</w:t>
      </w:r>
    </w:p>
    <w:p w:rsidR="006E684A" w:rsidRDefault="006E684A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результате внесенных изменений   объем средств , предусмотренных для 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Комитета культуры, кино и туризма  сократился до </w:t>
      </w:r>
      <w:r w:rsidR="00383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65,4 тыс.рублей(</w:t>
      </w:r>
      <w:r w:rsidR="00463C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3D59">
        <w:rPr>
          <w:rFonts w:ascii="Times New Roman" w:hAnsi="Times New Roman" w:cs="Times New Roman"/>
          <w:noProof/>
          <w:sz w:val="28"/>
          <w:szCs w:val="28"/>
          <w:lang w:eastAsia="ru-RU"/>
        </w:rPr>
        <w:t>45,4 тыс.рублей в 2015 году и 22,0 тыс.рублей в 2016 году).</w:t>
      </w:r>
    </w:p>
    <w:p w:rsidR="006E684A" w:rsidRDefault="00383D59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456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Финансирования на   выполнение мероприятий программы  по комитету культуры, кино и туризму  фактически не осуществлялось, мероприятия оказались невыполненными.</w:t>
      </w:r>
    </w:p>
    <w:p w:rsidR="005456A1" w:rsidRDefault="005456A1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ходе осуществленных контрольных действий фактов нецелевого (неэффективного) использования бюджетных средств не установлено.</w:t>
      </w:r>
    </w:p>
    <w:p w:rsidR="005456A1" w:rsidRDefault="005456A1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56A1" w:rsidRDefault="005456A1" w:rsidP="004C11C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56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Председатель Контрольно-счетной палаты                         Е.А.Тонкова</w:t>
      </w:r>
    </w:p>
    <w:p w:rsidR="005456A1" w:rsidRDefault="005456A1" w:rsidP="004C11C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456A1" w:rsidRDefault="005456A1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6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 доведен  до сведения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              ________________________</w:t>
      </w:r>
    </w:p>
    <w:p w:rsidR="005456A1" w:rsidRPr="0091146E" w:rsidRDefault="005456A1" w:rsidP="0091146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456A1">
        <w:rPr>
          <w:rFonts w:ascii="Times New Roman" w:hAnsi="Times New Roman" w:cs="Times New Roman"/>
          <w:noProof/>
          <w:sz w:val="20"/>
          <w:szCs w:val="20"/>
          <w:lang w:eastAsia="ru-RU"/>
        </w:rPr>
        <w:t>подпись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              (</w:t>
      </w:r>
      <w:r w:rsidRPr="0091146E">
        <w:rPr>
          <w:rFonts w:ascii="Times New Roman" w:hAnsi="Times New Roman" w:cs="Times New Roman"/>
          <w:noProof/>
          <w:sz w:val="20"/>
          <w:szCs w:val="20"/>
          <w:lang w:eastAsia="ru-RU"/>
        </w:rPr>
        <w:t>должность, инициалы, фамилия</w:t>
      </w:r>
      <w:proofErr w:type="gramEnd"/>
    </w:p>
    <w:p w:rsidR="0091146E" w:rsidRDefault="005456A1" w:rsidP="004C11C5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1146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</w:t>
      </w:r>
      <w:r w:rsidR="0091146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</w:t>
      </w:r>
      <w:r w:rsidRPr="0091146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руководителя объекта  контроля)   </w:t>
      </w:r>
    </w:p>
    <w:p w:rsidR="0091146E" w:rsidRDefault="0091146E" w:rsidP="004C11C5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1146E" w:rsidRDefault="0091146E" w:rsidP="004C11C5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1146E" w:rsidRDefault="0091146E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1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Один </w:t>
      </w:r>
      <w:r w:rsidR="005456A1" w:rsidRPr="00911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экземпляр акта  на  ___  листах с приложениями на ____ листах   получил ___________________________________________</w:t>
      </w:r>
    </w:p>
    <w:p w:rsidR="005456A1" w:rsidRPr="0091146E" w:rsidRDefault="0091146E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( </w:t>
      </w:r>
      <w:r w:rsidRPr="0091146E">
        <w:rPr>
          <w:rFonts w:ascii="Times New Roman" w:hAnsi="Times New Roman" w:cs="Times New Roman"/>
          <w:noProof/>
          <w:sz w:val="20"/>
          <w:szCs w:val="20"/>
          <w:lang w:eastAsia="ru-RU"/>
        </w:rPr>
        <w:t>должность, Ф.И.О. уполномоченного объекта контроля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        </w:t>
      </w:r>
      <w:r w:rsidR="005456A1" w:rsidRPr="00911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8F18E0" w:rsidRPr="00C24A54" w:rsidRDefault="009F6F8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F18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Default="004626EF" w:rsidP="004C11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6EF" w:rsidRPr="004333FC" w:rsidRDefault="004626EF" w:rsidP="004C1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6EF" w:rsidRPr="004333FC" w:rsidSect="00AD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C5"/>
    <w:rsid w:val="00014231"/>
    <w:rsid w:val="000203C7"/>
    <w:rsid w:val="00037688"/>
    <w:rsid w:val="000760A4"/>
    <w:rsid w:val="000A51AD"/>
    <w:rsid w:val="000C069C"/>
    <w:rsid w:val="00111E7C"/>
    <w:rsid w:val="0013275E"/>
    <w:rsid w:val="001603B1"/>
    <w:rsid w:val="001A65CE"/>
    <w:rsid w:val="001E20B5"/>
    <w:rsid w:val="001F278E"/>
    <w:rsid w:val="002109BA"/>
    <w:rsid w:val="002426BF"/>
    <w:rsid w:val="00262CAC"/>
    <w:rsid w:val="00287F96"/>
    <w:rsid w:val="002A3495"/>
    <w:rsid w:val="002B68EB"/>
    <w:rsid w:val="002C085F"/>
    <w:rsid w:val="002C2ECE"/>
    <w:rsid w:val="002C6F8B"/>
    <w:rsid w:val="002E6343"/>
    <w:rsid w:val="003136BE"/>
    <w:rsid w:val="00322A35"/>
    <w:rsid w:val="0032662F"/>
    <w:rsid w:val="00353F18"/>
    <w:rsid w:val="00366523"/>
    <w:rsid w:val="003774F5"/>
    <w:rsid w:val="00383D59"/>
    <w:rsid w:val="003A4B1A"/>
    <w:rsid w:val="003F1D3E"/>
    <w:rsid w:val="004333FC"/>
    <w:rsid w:val="004626EF"/>
    <w:rsid w:val="00463C38"/>
    <w:rsid w:val="00463F8D"/>
    <w:rsid w:val="004641DA"/>
    <w:rsid w:val="004B0C42"/>
    <w:rsid w:val="004C11C5"/>
    <w:rsid w:val="004F494E"/>
    <w:rsid w:val="005341A8"/>
    <w:rsid w:val="005456A1"/>
    <w:rsid w:val="005B28F2"/>
    <w:rsid w:val="005D2DC3"/>
    <w:rsid w:val="00652BFA"/>
    <w:rsid w:val="0067487D"/>
    <w:rsid w:val="006B3D66"/>
    <w:rsid w:val="006D6DC0"/>
    <w:rsid w:val="006E2034"/>
    <w:rsid w:val="006E684A"/>
    <w:rsid w:val="00756E3E"/>
    <w:rsid w:val="007A16B7"/>
    <w:rsid w:val="007C7034"/>
    <w:rsid w:val="007D2F20"/>
    <w:rsid w:val="007D334A"/>
    <w:rsid w:val="007D7CD6"/>
    <w:rsid w:val="008458BC"/>
    <w:rsid w:val="008A1CEB"/>
    <w:rsid w:val="008A7DB6"/>
    <w:rsid w:val="008B2D81"/>
    <w:rsid w:val="008B61F3"/>
    <w:rsid w:val="008B70AE"/>
    <w:rsid w:val="008C104B"/>
    <w:rsid w:val="008C696E"/>
    <w:rsid w:val="008C7EE9"/>
    <w:rsid w:val="008F18E0"/>
    <w:rsid w:val="0091146E"/>
    <w:rsid w:val="00911BCD"/>
    <w:rsid w:val="009141F4"/>
    <w:rsid w:val="00914A16"/>
    <w:rsid w:val="009B4343"/>
    <w:rsid w:val="009C12CE"/>
    <w:rsid w:val="009C3F84"/>
    <w:rsid w:val="009E2C6A"/>
    <w:rsid w:val="009F6F8F"/>
    <w:rsid w:val="00A435E5"/>
    <w:rsid w:val="00A45811"/>
    <w:rsid w:val="00A45A0A"/>
    <w:rsid w:val="00A4765D"/>
    <w:rsid w:val="00A52A39"/>
    <w:rsid w:val="00A53B43"/>
    <w:rsid w:val="00A55ED9"/>
    <w:rsid w:val="00A57C21"/>
    <w:rsid w:val="00A6310B"/>
    <w:rsid w:val="00A6752C"/>
    <w:rsid w:val="00A8268B"/>
    <w:rsid w:val="00AA3364"/>
    <w:rsid w:val="00AC766D"/>
    <w:rsid w:val="00AC7762"/>
    <w:rsid w:val="00AD645E"/>
    <w:rsid w:val="00AE717B"/>
    <w:rsid w:val="00B26745"/>
    <w:rsid w:val="00BA536F"/>
    <w:rsid w:val="00BB753C"/>
    <w:rsid w:val="00BF1495"/>
    <w:rsid w:val="00C24A54"/>
    <w:rsid w:val="00C56FDD"/>
    <w:rsid w:val="00CA7708"/>
    <w:rsid w:val="00CE1F53"/>
    <w:rsid w:val="00D22C44"/>
    <w:rsid w:val="00D41FB2"/>
    <w:rsid w:val="00D503EC"/>
    <w:rsid w:val="00D707EC"/>
    <w:rsid w:val="00D764D6"/>
    <w:rsid w:val="00D93BBC"/>
    <w:rsid w:val="00D9542B"/>
    <w:rsid w:val="00DA0F0C"/>
    <w:rsid w:val="00DB6327"/>
    <w:rsid w:val="00DB7AF3"/>
    <w:rsid w:val="00E327D7"/>
    <w:rsid w:val="00E4334C"/>
    <w:rsid w:val="00E57863"/>
    <w:rsid w:val="00EF5ECC"/>
    <w:rsid w:val="00F10974"/>
    <w:rsid w:val="00F3752F"/>
    <w:rsid w:val="00FA7164"/>
    <w:rsid w:val="00FC1D22"/>
    <w:rsid w:val="00FC2E40"/>
    <w:rsid w:val="00FD5A58"/>
    <w:rsid w:val="00F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4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B68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кВт, часы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29413</c:v>
                </c:pt>
                <c:pt idx="1">
                  <c:v>22570</c:v>
                </c:pt>
                <c:pt idx="2">
                  <c:v>25857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marker val="1"/>
        <c:axId val="65298816"/>
        <c:axId val="65346176"/>
      </c:lineChart>
      <c:catAx>
        <c:axId val="65298816"/>
        <c:scaling>
          <c:orientation val="minMax"/>
        </c:scaling>
        <c:axPos val="b"/>
        <c:numFmt formatCode="General" sourceLinked="1"/>
        <c:tickLblPos val="nextTo"/>
        <c:crossAx val="65346176"/>
        <c:crosses val="autoZero"/>
        <c:auto val="1"/>
        <c:lblAlgn val="ctr"/>
        <c:lblOffset val="100"/>
      </c:catAx>
      <c:valAx>
        <c:axId val="65346176"/>
        <c:scaling>
          <c:orientation val="minMax"/>
        </c:scaling>
        <c:axPos val="l"/>
        <c:majorGridlines/>
        <c:numFmt formatCode="General" sourceLinked="1"/>
        <c:tickLblPos val="nextTo"/>
        <c:crossAx val="65298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м3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155.97999999999999</c:v>
                </c:pt>
                <c:pt idx="1">
                  <c:v>196.34</c:v>
                </c:pt>
                <c:pt idx="2">
                  <c:v>199.33</c:v>
                </c:pt>
              </c:numCache>
            </c:numRef>
          </c:val>
        </c:ser>
        <c:marker val="1"/>
        <c:axId val="78287232"/>
        <c:axId val="78289536"/>
      </c:lineChart>
      <c:catAx>
        <c:axId val="78287232"/>
        <c:scaling>
          <c:orientation val="minMax"/>
        </c:scaling>
        <c:axPos val="b"/>
        <c:numFmt formatCode="General" sourceLinked="1"/>
        <c:tickLblPos val="nextTo"/>
        <c:crossAx val="78289536"/>
        <c:crosses val="autoZero"/>
        <c:auto val="1"/>
        <c:lblAlgn val="ctr"/>
        <c:lblOffset val="100"/>
      </c:catAx>
      <c:valAx>
        <c:axId val="78289536"/>
        <c:scaling>
          <c:orientation val="minMax"/>
        </c:scaling>
        <c:axPos val="l"/>
        <c:majorGridlines/>
        <c:numFmt formatCode="General" sourceLinked="1"/>
        <c:tickLblPos val="nextTo"/>
        <c:crossAx val="7828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м3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51.620000000000012</c:v>
                </c:pt>
                <c:pt idx="1">
                  <c:v>53.1</c:v>
                </c:pt>
                <c:pt idx="2">
                  <c:v>74.16</c:v>
                </c:pt>
              </c:numCache>
            </c:numRef>
          </c:val>
        </c:ser>
        <c:marker val="1"/>
        <c:axId val="78631680"/>
        <c:axId val="78633216"/>
      </c:lineChart>
      <c:catAx>
        <c:axId val="78631680"/>
        <c:scaling>
          <c:orientation val="minMax"/>
        </c:scaling>
        <c:axPos val="b"/>
        <c:numFmt formatCode="General" sourceLinked="1"/>
        <c:tickLblPos val="nextTo"/>
        <c:crossAx val="78633216"/>
        <c:crosses val="autoZero"/>
        <c:auto val="1"/>
        <c:lblAlgn val="ctr"/>
        <c:lblOffset val="100"/>
      </c:catAx>
      <c:valAx>
        <c:axId val="78633216"/>
        <c:scaling>
          <c:orientation val="minMax"/>
        </c:scaling>
        <c:axPos val="l"/>
        <c:majorGridlines/>
        <c:numFmt formatCode="General" sourceLinked="1"/>
        <c:tickLblPos val="nextTo"/>
        <c:crossAx val="78631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858092394639313E-2"/>
          <c:y val="9.0210194313946057E-2"/>
          <c:w val="0.73460163255624722"/>
          <c:h val="0.7558353735194892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Гкал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568.51</c:v>
                </c:pt>
                <c:pt idx="1">
                  <c:v>524.98</c:v>
                </c:pt>
                <c:pt idx="2">
                  <c:v>642.16</c:v>
                </c:pt>
              </c:numCache>
            </c:numRef>
          </c:val>
        </c:ser>
        <c:marker val="1"/>
        <c:axId val="64620800"/>
        <c:axId val="78282752"/>
      </c:lineChart>
      <c:catAx>
        <c:axId val="64620800"/>
        <c:scaling>
          <c:orientation val="minMax"/>
        </c:scaling>
        <c:axPos val="b"/>
        <c:numFmt formatCode="General" sourceLinked="1"/>
        <c:tickLblPos val="nextTo"/>
        <c:crossAx val="78282752"/>
        <c:crosses val="autoZero"/>
        <c:auto val="1"/>
        <c:lblAlgn val="ctr"/>
        <c:lblOffset val="100"/>
      </c:catAx>
      <c:valAx>
        <c:axId val="78282752"/>
        <c:scaling>
          <c:orientation val="minMax"/>
        </c:scaling>
        <c:axPos val="l"/>
        <c:majorGridlines/>
        <c:numFmt formatCode="General" sourceLinked="1"/>
        <c:tickLblPos val="nextTo"/>
        <c:crossAx val="6462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365016511664364"/>
          <c:y val="3.3762211258862349E-2"/>
          <c:w val="0.61288162679087277"/>
          <c:h val="0.786207076812493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теплоснабжение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водоснабжение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97.66</c:v>
                </c:pt>
                <c:pt idx="1">
                  <c:v>82.98</c:v>
                </c:pt>
                <c:pt idx="2">
                  <c:v>83.83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водоотведение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97.56</c:v>
                </c:pt>
                <c:pt idx="1">
                  <c:v>106.07</c:v>
                </c:pt>
                <c:pt idx="2">
                  <c:v>144.91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электроэнергия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5.0209999999999955</c:v>
                </c:pt>
                <c:pt idx="1">
                  <c:v>5.492</c:v>
                </c:pt>
                <c:pt idx="2">
                  <c:v>5.8879999999999955</c:v>
                </c:pt>
              </c:numCache>
            </c:numRef>
          </c:val>
        </c:ser>
        <c:marker val="1"/>
        <c:axId val="78604928"/>
        <c:axId val="78614912"/>
      </c:lineChart>
      <c:catAx>
        <c:axId val="78604928"/>
        <c:scaling>
          <c:orientation val="minMax"/>
        </c:scaling>
        <c:axPos val="b"/>
        <c:numFmt formatCode="General" sourceLinked="1"/>
        <c:tickLblPos val="nextTo"/>
        <c:crossAx val="78614912"/>
        <c:crossesAt val="5"/>
        <c:auto val="1"/>
        <c:lblAlgn val="ctr"/>
        <c:lblOffset val="100"/>
      </c:catAx>
      <c:valAx>
        <c:axId val="78614912"/>
        <c:scaling>
          <c:orientation val="minMax"/>
          <c:max val="150"/>
          <c:min val="0"/>
        </c:scaling>
        <c:axPos val="l"/>
        <c:majorGridlines/>
        <c:numFmt formatCode="General" sourceLinked="1"/>
        <c:tickLblPos val="nextTo"/>
        <c:crossAx val="7860492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теплоснабжение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2977.61</c:v>
                </c:pt>
                <c:pt idx="1">
                  <c:v>3102.67</c:v>
                </c:pt>
                <c:pt idx="2">
                  <c:v>3319.8500000000022</c:v>
                </c:pt>
                <c:pt idx="3">
                  <c:v>3319.8500000000022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 года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94775168"/>
        <c:axId val="94776704"/>
      </c:lineChart>
      <c:catAx>
        <c:axId val="94775168"/>
        <c:scaling>
          <c:orientation val="minMax"/>
        </c:scaling>
        <c:axPos val="b"/>
        <c:numFmt formatCode="General" sourceLinked="1"/>
        <c:tickLblPos val="nextTo"/>
        <c:crossAx val="94776704"/>
        <c:crosses val="autoZero"/>
        <c:auto val="1"/>
        <c:lblAlgn val="ctr"/>
        <c:lblOffset val="100"/>
      </c:catAx>
      <c:valAx>
        <c:axId val="94776704"/>
        <c:scaling>
          <c:orientation val="minMax"/>
        </c:scaling>
        <c:axPos val="l"/>
        <c:majorGridlines/>
        <c:numFmt formatCode="General" sourceLinked="1"/>
        <c:tickLblPos val="nextTo"/>
        <c:crossAx val="94775168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4AFF-D269-4C88-9B7C-318DB10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dcterms:created xsi:type="dcterms:W3CDTF">2017-08-02T08:58:00Z</dcterms:created>
  <dcterms:modified xsi:type="dcterms:W3CDTF">2017-12-08T08:51:00Z</dcterms:modified>
</cp:coreProperties>
</file>