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0" w:tblpY="586"/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95"/>
      </w:tblGrid>
      <w:tr w:rsidR="006967B9" w:rsidRPr="00FF643F" w:rsidTr="00D40481">
        <w:trPr>
          <w:trHeight w:val="12616"/>
        </w:trPr>
        <w:tc>
          <w:tcPr>
            <w:tcW w:w="10095" w:type="dxa"/>
          </w:tcPr>
          <w:p w:rsidR="00517ED0" w:rsidRDefault="00517ED0" w:rsidP="00A30B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A30B5A" w:rsidRPr="001649F7" w:rsidRDefault="00A30B5A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59C9" w:rsidRPr="001F0E8F" w:rsidRDefault="00517ED0" w:rsidP="006E030C">
            <w:pPr>
              <w:pStyle w:val="1"/>
              <w:spacing w:before="0" w:after="0" w:line="240" w:lineRule="auto"/>
              <w:ind w:right="112" w:firstLine="709"/>
              <w:contextualSpacing/>
              <w:jc w:val="both"/>
              <w:rPr>
                <w:sz w:val="28"/>
                <w:szCs w:val="28"/>
              </w:rPr>
            </w:pPr>
            <w:r w:rsidRPr="001F0E8F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</w:t>
            </w:r>
            <w:r w:rsidR="00A4484A" w:rsidRPr="001F0E8F">
              <w:rPr>
                <w:rFonts w:ascii="Times New Roman" w:hAnsi="Times New Roman"/>
                <w:b w:val="0"/>
                <w:sz w:val="28"/>
                <w:szCs w:val="28"/>
              </w:rPr>
              <w:t>оселения на 2019</w:t>
            </w:r>
            <w:r w:rsidR="0037617A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</w:t>
            </w:r>
            <w:r w:rsidRPr="001F0E8F">
              <w:rPr>
                <w:rFonts w:ascii="Times New Roman" w:hAnsi="Times New Roman"/>
                <w:b w:val="0"/>
                <w:sz w:val="28"/>
                <w:szCs w:val="28"/>
              </w:rPr>
              <w:t>предлагается внести следующие изменения:</w:t>
            </w:r>
          </w:p>
          <w:p w:rsidR="00333F77" w:rsidRPr="001F0E8F" w:rsidRDefault="007059C9" w:rsidP="006E03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Доходная  часть бюджета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8EC">
              <w:rPr>
                <w:rFonts w:ascii="Times New Roman" w:hAnsi="Times New Roman"/>
                <w:sz w:val="28"/>
                <w:szCs w:val="28"/>
              </w:rPr>
              <w:t xml:space="preserve">остается </w:t>
            </w:r>
            <w:r w:rsidR="0037617A">
              <w:rPr>
                <w:rFonts w:ascii="Times New Roman" w:hAnsi="Times New Roman"/>
                <w:sz w:val="28"/>
                <w:szCs w:val="28"/>
              </w:rPr>
              <w:t>без изменений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>: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 xml:space="preserve"> 9347,1 </w:t>
            </w:r>
            <w:proofErr w:type="spellStart"/>
            <w:r w:rsidR="00A4484A" w:rsidRPr="001F0E8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A4484A" w:rsidRPr="001F0E8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4484A" w:rsidRPr="001F0E8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A4484A" w:rsidRPr="001F0E8F">
              <w:rPr>
                <w:rFonts w:ascii="Times New Roman" w:hAnsi="Times New Roman"/>
                <w:sz w:val="28"/>
                <w:szCs w:val="28"/>
              </w:rPr>
              <w:t xml:space="preserve"> (9 347 068,76 рублей)</w:t>
            </w:r>
            <w:r w:rsidR="003761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484A" w:rsidRPr="001F0E8F" w:rsidRDefault="008F5473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В  расходной части бюджета</w:t>
            </w:r>
            <w:r w:rsidR="0012161A" w:rsidRPr="001F0E8F">
              <w:rPr>
                <w:rFonts w:ascii="Times New Roman" w:hAnsi="Times New Roman"/>
                <w:sz w:val="28"/>
                <w:szCs w:val="28"/>
              </w:rPr>
              <w:t xml:space="preserve"> предусматривае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="00197381" w:rsidRPr="001F0E8F">
              <w:rPr>
                <w:rFonts w:ascii="Times New Roman" w:hAnsi="Times New Roman"/>
                <w:sz w:val="28"/>
                <w:szCs w:val="28"/>
              </w:rPr>
              <w:t>увеличение расходов</w:t>
            </w:r>
            <w:r w:rsidR="00CB2010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>на общую сумму 1200,1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46EC" w:rsidRPr="001F0E8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546EC" w:rsidRPr="001F0E8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546EC" w:rsidRPr="001F0E8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>(1</w:t>
            </w:r>
            <w:r w:rsidR="006E030C">
              <w:rPr>
                <w:rFonts w:ascii="Times New Roman" w:hAnsi="Times New Roman"/>
                <w:sz w:val="28"/>
                <w:szCs w:val="28"/>
              </w:rPr>
              <w:t> 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>200</w:t>
            </w:r>
            <w:r w:rsidR="006E0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>118,65 рублей)</w:t>
            </w:r>
            <w:r w:rsidR="00417ECF" w:rsidRPr="001F0E8F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417ECF" w:rsidRPr="001F0E8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417ECF" w:rsidRPr="001F0E8F">
              <w:rPr>
                <w:rFonts w:ascii="Times New Roman" w:hAnsi="Times New Roman"/>
                <w:sz w:val="28"/>
                <w:szCs w:val="28"/>
              </w:rPr>
              <w:t xml:space="preserve"> -     на сумму средств </w:t>
            </w:r>
            <w:r w:rsidR="009F3737" w:rsidRPr="001F0E8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>дорожной деятельности (1 200 118,65</w:t>
            </w:r>
            <w:r w:rsidR="009F3737" w:rsidRPr="001F0E8F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  <w:r w:rsidR="003A28D6" w:rsidRPr="001F0E8F">
              <w:rPr>
                <w:rFonts w:ascii="Times New Roman" w:hAnsi="Times New Roman"/>
                <w:sz w:val="28"/>
                <w:szCs w:val="28"/>
              </w:rPr>
              <w:t xml:space="preserve">, привлекаются средства 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ECF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737" w:rsidRPr="001F0E8F">
              <w:rPr>
                <w:rFonts w:ascii="Times New Roman" w:hAnsi="Times New Roman"/>
                <w:sz w:val="28"/>
                <w:szCs w:val="28"/>
              </w:rPr>
              <w:t xml:space="preserve">из остатка средств дорожного фонда, сложившегося на </w:t>
            </w:r>
            <w:r w:rsidR="00417ECF" w:rsidRPr="001F0E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>01.01.2019</w:t>
            </w:r>
            <w:r w:rsidR="009F3737" w:rsidRPr="001F0E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 xml:space="preserve"> (остаток  1200,1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46EC" w:rsidRPr="001F0E8F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F546EC" w:rsidRPr="001F0E8F">
              <w:rPr>
                <w:rFonts w:ascii="Times New Roman" w:hAnsi="Times New Roman"/>
                <w:sz w:val="28"/>
                <w:szCs w:val="28"/>
              </w:rPr>
              <w:t>)</w:t>
            </w:r>
            <w:r w:rsidR="00A4484A" w:rsidRPr="001F0E8F">
              <w:rPr>
                <w:rFonts w:ascii="Times New Roman" w:hAnsi="Times New Roman"/>
                <w:sz w:val="28"/>
                <w:szCs w:val="28"/>
              </w:rPr>
              <w:t xml:space="preserve">. Данные средства направлены на содержание автомобильных дорог общего пользования местного значения. </w:t>
            </w:r>
          </w:p>
          <w:p w:rsidR="008A1B54" w:rsidRPr="001F0E8F" w:rsidRDefault="008A1B54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Сумма дорожного фонда составляет 5570,8 </w:t>
            </w:r>
            <w:proofErr w:type="spellStart"/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ублей</w:t>
            </w:r>
            <w:proofErr w:type="spellEnd"/>
            <w:r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(5 570 787,41 руб.)</w:t>
            </w:r>
          </w:p>
          <w:p w:rsidR="0073218F" w:rsidRPr="001F0E8F" w:rsidRDefault="00A4484A" w:rsidP="00376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08EC">
              <w:rPr>
                <w:rFonts w:ascii="Times New Roman" w:hAnsi="Times New Roman"/>
                <w:sz w:val="28"/>
                <w:szCs w:val="28"/>
              </w:rPr>
              <w:t xml:space="preserve">в бюджетной смете Администрации Батецкого муниципального района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перераспределены 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средства областной субсидии</w:t>
            </w:r>
            <w:r w:rsidR="0073218F"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 по дорожной деятельности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 xml:space="preserve"> в сумме 2292,0 </w:t>
            </w:r>
            <w:proofErr w:type="spellStart"/>
            <w:r w:rsidR="0073218F" w:rsidRPr="001F0E8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73218F" w:rsidRPr="001F0E8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3218F" w:rsidRPr="001F0E8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73218F" w:rsidRPr="001F0E8F">
              <w:rPr>
                <w:rFonts w:ascii="Times New Roman" w:hAnsi="Times New Roman"/>
                <w:sz w:val="28"/>
                <w:szCs w:val="28"/>
              </w:rPr>
              <w:t xml:space="preserve"> по следующим направлениям: </w:t>
            </w:r>
          </w:p>
          <w:p w:rsidR="0073218F" w:rsidRPr="001F0E8F" w:rsidRDefault="006520AB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>1)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>на текущий (ямочный) ремонт автомобильных дорог</w:t>
            </w:r>
            <w:r w:rsidR="00376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>-</w:t>
            </w:r>
            <w:r w:rsidR="00376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>318132,96 рублей;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(софинансирование-16743,84 рубля)</w:t>
            </w:r>
            <w:r w:rsidR="006E03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484A" w:rsidRPr="001F0E8F" w:rsidRDefault="0073218F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0AB" w:rsidRPr="001F0E8F">
              <w:rPr>
                <w:rFonts w:ascii="Times New Roman" w:hAnsi="Times New Roman"/>
                <w:sz w:val="28"/>
                <w:szCs w:val="28"/>
              </w:rPr>
              <w:t>2)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на ремонт автомобильных дорог общего пользования местного значения</w:t>
            </w:r>
            <w:r w:rsidR="00376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- 1240</w:t>
            </w:r>
            <w:r w:rsidR="006520AB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284,66 рублей</w:t>
            </w:r>
            <w:r w:rsidR="003761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0AB" w:rsidRPr="001F0E8F" w:rsidRDefault="006520AB" w:rsidP="00376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F0E8F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="00376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- 65278,14 рубля)</w:t>
            </w:r>
          </w:p>
          <w:p w:rsidR="00793D44" w:rsidRPr="001F0E8F" w:rsidRDefault="006520AB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3)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>на подготовку проектно-сметной документации и проведение экспертизы (по кап</w:t>
            </w:r>
            <w:proofErr w:type="gramStart"/>
            <w:r w:rsidR="0073218F" w:rsidRPr="001F0E8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73218F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3218F" w:rsidRPr="001F0E8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73218F" w:rsidRPr="001F0E8F">
              <w:rPr>
                <w:rFonts w:ascii="Times New Roman" w:hAnsi="Times New Roman"/>
                <w:sz w:val="28"/>
                <w:szCs w:val="28"/>
              </w:rPr>
              <w:t>емонту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дороги 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 xml:space="preserve"> на ул.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18F" w:rsidRPr="001F0E8F">
              <w:rPr>
                <w:rFonts w:ascii="Times New Roman" w:hAnsi="Times New Roman"/>
                <w:sz w:val="28"/>
                <w:szCs w:val="28"/>
              </w:rPr>
              <w:t>Новая в п. Батецкий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)-733 582,38 рублей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F0E8F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1F0E8F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067DCF" w:rsidRPr="001F0E8F">
              <w:rPr>
                <w:rFonts w:ascii="Times New Roman" w:hAnsi="Times New Roman"/>
                <w:sz w:val="28"/>
                <w:szCs w:val="28"/>
              </w:rPr>
              <w:t xml:space="preserve">38609,60 рублей; 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(на эти же цели выделены средства из б</w:t>
            </w:r>
            <w:r w:rsidR="00793D44" w:rsidRPr="001F0E8F">
              <w:rPr>
                <w:rFonts w:ascii="Times New Roman" w:hAnsi="Times New Roman"/>
                <w:sz w:val="28"/>
                <w:szCs w:val="28"/>
              </w:rPr>
              <w:t>юджета поселения в сумме 235 248,02 руб.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>)</w:t>
            </w:r>
            <w:r w:rsidR="00793D44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D44" w:rsidRPr="001F0E8F">
              <w:rPr>
                <w:rFonts w:ascii="Times New Roman" w:hAnsi="Times New Roman"/>
                <w:b/>
                <w:sz w:val="28"/>
                <w:szCs w:val="28"/>
              </w:rPr>
              <w:t>Общая сумма на подготовку проектно-сметной документации составляет 1007 440,00 рублей</w:t>
            </w:r>
            <w:r w:rsidR="003761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F5473" w:rsidRDefault="009F3737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В этой связи прогнозируется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дефицит б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>юджета поселения в сумме 1200,1</w:t>
            </w:r>
            <w:r w:rsidR="00F546EC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46EC" w:rsidRPr="001F0E8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546EC" w:rsidRPr="001F0E8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546EC" w:rsidRPr="001F0E8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F546EC" w:rsidRPr="001F0E8F">
              <w:rPr>
                <w:rFonts w:ascii="Times New Roman" w:hAnsi="Times New Roman"/>
                <w:sz w:val="28"/>
                <w:szCs w:val="28"/>
              </w:rPr>
              <w:t>.,</w:t>
            </w:r>
            <w:r w:rsidR="00417ECF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473" w:rsidRPr="001F0E8F">
              <w:rPr>
                <w:rFonts w:ascii="Times New Roman" w:hAnsi="Times New Roman"/>
                <w:sz w:val="28"/>
                <w:szCs w:val="28"/>
              </w:rPr>
              <w:t xml:space="preserve"> в связи с чем изменяются Приложения к решению о бюджете  поселения </w:t>
            </w:r>
            <w:r w:rsidR="00E10228" w:rsidRPr="001F0E8F">
              <w:rPr>
                <w:rFonts w:ascii="Times New Roman" w:hAnsi="Times New Roman"/>
                <w:sz w:val="28"/>
                <w:szCs w:val="28"/>
              </w:rPr>
              <w:t>№ 3,</w:t>
            </w:r>
            <w:r w:rsidR="00160AA2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228" w:rsidRPr="001F0E8F">
              <w:rPr>
                <w:rFonts w:ascii="Times New Roman" w:hAnsi="Times New Roman"/>
                <w:sz w:val="28"/>
                <w:szCs w:val="28"/>
              </w:rPr>
              <w:t>№</w:t>
            </w:r>
            <w:r w:rsidR="008F5473" w:rsidRPr="001F0E8F">
              <w:rPr>
                <w:rFonts w:ascii="Times New Roman" w:hAnsi="Times New Roman"/>
                <w:sz w:val="28"/>
                <w:szCs w:val="28"/>
              </w:rPr>
              <w:t>8,</w:t>
            </w:r>
            <w:r w:rsidR="00160AA2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228" w:rsidRPr="001F0E8F">
              <w:rPr>
                <w:rFonts w:ascii="Times New Roman" w:hAnsi="Times New Roman"/>
                <w:sz w:val="28"/>
                <w:szCs w:val="28"/>
              </w:rPr>
              <w:t>№</w:t>
            </w:r>
            <w:r w:rsidR="008F5473" w:rsidRPr="001F0E8F">
              <w:rPr>
                <w:rFonts w:ascii="Times New Roman" w:hAnsi="Times New Roman"/>
                <w:sz w:val="28"/>
                <w:szCs w:val="28"/>
              </w:rPr>
              <w:t>10</w:t>
            </w:r>
            <w:r w:rsidR="00E10228" w:rsidRPr="001F0E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030C" w:rsidRDefault="006E030C" w:rsidP="00376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8EC" w:rsidRPr="001F0E8F" w:rsidRDefault="004608EC" w:rsidP="006E0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Учитывая вышесказанное:</w:t>
            </w:r>
          </w:p>
          <w:p w:rsidR="00826C6E" w:rsidRPr="001F0E8F" w:rsidRDefault="00042A9D" w:rsidP="006E030C">
            <w:pPr>
              <w:spacing w:after="0" w:line="240" w:lineRule="auto"/>
              <w:ind w:right="11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>Общая с</w:t>
            </w:r>
            <w:r w:rsidR="00826C6E" w:rsidRPr="001F0E8F">
              <w:rPr>
                <w:rFonts w:ascii="Times New Roman" w:hAnsi="Times New Roman"/>
                <w:sz w:val="28"/>
                <w:szCs w:val="28"/>
              </w:rPr>
              <w:t>умма</w:t>
            </w:r>
            <w:r w:rsidRPr="001F0E8F">
              <w:rPr>
                <w:rFonts w:ascii="Times New Roman" w:hAnsi="Times New Roman"/>
                <w:sz w:val="28"/>
                <w:szCs w:val="28"/>
              </w:rPr>
              <w:t xml:space="preserve">  доходов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A9F"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8EC">
              <w:rPr>
                <w:rFonts w:ascii="Times New Roman" w:hAnsi="Times New Roman"/>
                <w:sz w:val="28"/>
                <w:szCs w:val="28"/>
              </w:rPr>
              <w:t xml:space="preserve">бюджета Батецкого сельского поселения </w:t>
            </w:r>
            <w:r w:rsidR="00401A9F" w:rsidRPr="001F0E8F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E6965" w:rsidRPr="001F0E8F">
              <w:rPr>
                <w:rFonts w:ascii="Times New Roman" w:hAnsi="Times New Roman"/>
                <w:b/>
                <w:sz w:val="28"/>
                <w:szCs w:val="28"/>
              </w:rPr>
              <w:t>9347,1</w:t>
            </w:r>
            <w:r w:rsidR="00401A9F"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1A9F" w:rsidRPr="001F0E8F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="00401A9F" w:rsidRPr="001F0E8F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="00401A9F" w:rsidRPr="001F0E8F">
              <w:rPr>
                <w:rFonts w:ascii="Times New Roman" w:hAnsi="Times New Roman"/>
                <w:b/>
                <w:sz w:val="28"/>
                <w:szCs w:val="28"/>
              </w:rPr>
              <w:t>ублей</w:t>
            </w:r>
            <w:proofErr w:type="spellEnd"/>
            <w:r w:rsidRPr="001F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>(</w:t>
            </w:r>
            <w:r w:rsidR="004E6965" w:rsidRPr="001F0E8F">
              <w:rPr>
                <w:rFonts w:ascii="Times New Roman" w:hAnsi="Times New Roman"/>
                <w:b/>
                <w:sz w:val="28"/>
                <w:szCs w:val="28"/>
              </w:rPr>
              <w:t>9 347 068,76 рублей</w:t>
            </w:r>
            <w:r w:rsidR="004E6965" w:rsidRPr="001F0E8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17ED0" w:rsidRPr="001F0E8F" w:rsidRDefault="00401A9F" w:rsidP="006E030C">
            <w:pPr>
              <w:spacing w:after="0" w:line="240" w:lineRule="auto"/>
              <w:ind w:right="112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E8F">
              <w:rPr>
                <w:rFonts w:ascii="Times New Roman" w:hAnsi="Times New Roman"/>
                <w:sz w:val="28"/>
                <w:szCs w:val="28"/>
              </w:rPr>
              <w:t xml:space="preserve">Общая сумма расходов с изменениями составляет </w:t>
            </w:r>
            <w:r w:rsidR="004E6965" w:rsidRPr="001F0E8F">
              <w:rPr>
                <w:rFonts w:ascii="Times New Roman" w:hAnsi="Times New Roman"/>
                <w:b/>
                <w:sz w:val="28"/>
                <w:szCs w:val="28"/>
              </w:rPr>
              <w:t>10 547,2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ублей</w:t>
            </w:r>
            <w:proofErr w:type="spellEnd"/>
            <w:r w:rsidR="004E6965"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(10</w:t>
            </w:r>
            <w:r w:rsidR="00863B56" w:rsidRPr="001F0E8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4E6965" w:rsidRPr="001F0E8F">
              <w:rPr>
                <w:rFonts w:ascii="Times New Roman" w:hAnsi="Times New Roman"/>
                <w:b/>
                <w:sz w:val="28"/>
                <w:szCs w:val="28"/>
              </w:rPr>
              <w:t>547</w:t>
            </w:r>
            <w:r w:rsidR="00863B56"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6965" w:rsidRPr="001F0E8F">
              <w:rPr>
                <w:rFonts w:ascii="Times New Roman" w:hAnsi="Times New Roman"/>
                <w:b/>
                <w:sz w:val="28"/>
                <w:szCs w:val="28"/>
              </w:rPr>
              <w:t>187,41 рубль)</w:t>
            </w:r>
            <w:r w:rsidR="003761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E6965" w:rsidRPr="001F0E8F" w:rsidRDefault="004E6965" w:rsidP="006E030C">
            <w:pPr>
              <w:spacing w:after="0" w:line="240" w:lineRule="auto"/>
              <w:ind w:right="11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Дефицит бюджета поселения</w:t>
            </w:r>
            <w:r w:rsidR="004608EC">
              <w:rPr>
                <w:rFonts w:ascii="Times New Roman" w:hAnsi="Times New Roman"/>
                <w:b/>
                <w:sz w:val="28"/>
                <w:szCs w:val="28"/>
              </w:rPr>
              <w:t xml:space="preserve"> устанавливается в объеме 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1200,1</w:t>
            </w:r>
            <w:r w:rsidR="006E03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  <w:r w:rsidR="00863B56"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r w:rsidR="008A1B54" w:rsidRPr="001F0E8F">
              <w:rPr>
                <w:rFonts w:ascii="Times New Roman" w:hAnsi="Times New Roman"/>
                <w:b/>
                <w:sz w:val="28"/>
                <w:szCs w:val="28"/>
              </w:rPr>
              <w:t>лей</w:t>
            </w:r>
            <w:r w:rsidRPr="001F0E8F">
              <w:rPr>
                <w:rFonts w:ascii="Times New Roman" w:hAnsi="Times New Roman"/>
                <w:b/>
                <w:sz w:val="28"/>
                <w:szCs w:val="28"/>
              </w:rPr>
              <w:t xml:space="preserve"> (1 200 118,65 рублей)</w:t>
            </w:r>
            <w:r w:rsidR="003761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778" w:rsidRDefault="00771778" w:rsidP="006E030C">
            <w:pPr>
              <w:pStyle w:val="a3"/>
              <w:tabs>
                <w:tab w:val="center" w:pos="10490"/>
              </w:tabs>
              <w:spacing w:line="360" w:lineRule="auto"/>
              <w:ind w:right="112" w:firstLine="0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1F0C9C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863B56" w:rsidRDefault="00863B56" w:rsidP="001F0C9C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863B56" w:rsidRDefault="00863B56" w:rsidP="001F0C9C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863B56" w:rsidRDefault="00863B56" w:rsidP="001F0C9C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863B56" w:rsidRDefault="00863B56" w:rsidP="001F0C9C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7617A" w:rsidRDefault="0037617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F90510" w:rsidRPr="001F0C9C" w:rsidRDefault="00F90510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Приложение 3</w:t>
            </w:r>
          </w:p>
          <w:p w:rsidR="00F90510" w:rsidRPr="001F0C9C" w:rsidRDefault="006E030C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90510" w:rsidRPr="001F0C9C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F90510" w:rsidRPr="001F0C9C" w:rsidRDefault="00F90510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Батецкого сельского поселения</w:t>
            </w:r>
          </w:p>
          <w:p w:rsidR="00F90510" w:rsidRPr="001F0C9C" w:rsidRDefault="00F90510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«О бюджете Батецкого сельского</w:t>
            </w:r>
          </w:p>
          <w:p w:rsidR="00F90510" w:rsidRPr="001F0C9C" w:rsidRDefault="001F0C9C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поселения на  2019</w:t>
            </w:r>
            <w:r w:rsidR="00F90510" w:rsidRPr="001F0C9C">
              <w:rPr>
                <w:rFonts w:ascii="Times New Roman" w:hAnsi="Times New Roman"/>
              </w:rPr>
              <w:t xml:space="preserve"> год </w:t>
            </w:r>
            <w:r w:rsidRPr="001F0C9C">
              <w:rPr>
                <w:rFonts w:ascii="Times New Roman" w:hAnsi="Times New Roman"/>
              </w:rPr>
              <w:t>и плановый период 2020 и 2021</w:t>
            </w:r>
            <w:r w:rsidR="00F90510" w:rsidRPr="001F0C9C">
              <w:rPr>
                <w:rFonts w:ascii="Times New Roman" w:hAnsi="Times New Roman"/>
              </w:rPr>
              <w:t xml:space="preserve"> годов»</w:t>
            </w:r>
          </w:p>
          <w:p w:rsidR="00D673E4" w:rsidRDefault="00D673E4" w:rsidP="001F0C9C">
            <w:pPr>
              <w:pStyle w:val="a3"/>
              <w:tabs>
                <w:tab w:val="center" w:pos="10490"/>
              </w:tabs>
              <w:spacing w:line="360" w:lineRule="auto"/>
              <w:ind w:firstLine="0"/>
              <w:jc w:val="center"/>
              <w:rPr>
                <w:b/>
                <w:noProof/>
                <w:szCs w:val="28"/>
              </w:rPr>
            </w:pPr>
          </w:p>
          <w:p w:rsidR="00F90510" w:rsidRPr="008A1B54" w:rsidRDefault="00F90510" w:rsidP="00376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1B54">
              <w:rPr>
                <w:rFonts w:ascii="Times New Roman" w:hAnsi="Times New Roman"/>
                <w:b/>
              </w:rPr>
              <w:t>Источники внутреннего финансирования дефицита</w:t>
            </w:r>
          </w:p>
          <w:p w:rsidR="00F90510" w:rsidRPr="008A1B54" w:rsidRDefault="00F90510" w:rsidP="00376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1B54">
              <w:rPr>
                <w:rFonts w:ascii="Times New Roman" w:hAnsi="Times New Roman"/>
                <w:b/>
              </w:rPr>
              <w:t>бюджета Батец</w:t>
            </w:r>
            <w:r w:rsidR="00AD2BE3" w:rsidRPr="008A1B54">
              <w:rPr>
                <w:rFonts w:ascii="Times New Roman" w:hAnsi="Times New Roman"/>
                <w:b/>
              </w:rPr>
              <w:t>кого сельского поселения на 2019</w:t>
            </w:r>
            <w:r w:rsidRPr="008A1B54">
              <w:rPr>
                <w:rFonts w:ascii="Times New Roman" w:hAnsi="Times New Roman"/>
                <w:b/>
              </w:rPr>
              <w:t xml:space="preserve"> год</w:t>
            </w:r>
          </w:p>
          <w:p w:rsidR="001F0C9C" w:rsidRPr="008A1B54" w:rsidRDefault="001F0C9C" w:rsidP="0037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B54">
              <w:rPr>
                <w:rFonts w:ascii="Times New Roman" w:hAnsi="Times New Roman"/>
                <w:b/>
              </w:rPr>
              <w:t>и плановый период 2020 и 2021 годов</w:t>
            </w:r>
          </w:p>
          <w:p w:rsidR="00333F77" w:rsidRPr="001F0C9C" w:rsidRDefault="000C6FF7" w:rsidP="001F0C9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0C9C">
              <w:rPr>
                <w:rFonts w:ascii="Times New Roman" w:hAnsi="Times New Roman"/>
              </w:rPr>
              <w:t xml:space="preserve">           (</w:t>
            </w:r>
            <w:proofErr w:type="spellStart"/>
            <w:r w:rsidR="001F0C9C">
              <w:rPr>
                <w:rFonts w:ascii="Times New Roman" w:hAnsi="Times New Roman"/>
              </w:rPr>
              <w:t>тыс</w:t>
            </w:r>
            <w:proofErr w:type="gramStart"/>
            <w:r w:rsidR="001F0C9C">
              <w:rPr>
                <w:rFonts w:ascii="Times New Roman" w:hAnsi="Times New Roman"/>
              </w:rPr>
              <w:t>.р</w:t>
            </w:r>
            <w:proofErr w:type="gramEnd"/>
            <w:r w:rsidR="001F0C9C">
              <w:rPr>
                <w:rFonts w:ascii="Times New Roman" w:hAnsi="Times New Roman"/>
              </w:rPr>
              <w:t>ублей</w:t>
            </w:r>
            <w:proofErr w:type="spellEnd"/>
            <w:r w:rsidR="001F0C9C">
              <w:rPr>
                <w:rFonts w:ascii="Times New Roman" w:hAnsi="Times New Roman"/>
              </w:rPr>
              <w:t>)</w:t>
            </w:r>
          </w:p>
          <w:tbl>
            <w:tblPr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81"/>
              <w:gridCol w:w="2835"/>
              <w:gridCol w:w="1134"/>
              <w:gridCol w:w="992"/>
              <w:gridCol w:w="1276"/>
            </w:tblGrid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798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835" w:type="dxa"/>
                </w:tcPr>
                <w:p w:rsidR="003A7899" w:rsidRPr="0047798E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798E">
                    <w:rPr>
                      <w:rFonts w:ascii="Times New Roman" w:hAnsi="Times New Roman"/>
                      <w:sz w:val="24"/>
                      <w:szCs w:val="24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год</w:t>
                  </w: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год</w:t>
                  </w: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год</w:t>
                  </w: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tbl>
                  <w:tblPr>
                    <w:tblW w:w="4536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536"/>
                  </w:tblGrid>
                  <w:tr w:rsidR="003A7899" w:rsidRPr="006408D6" w:rsidTr="009A0508">
                    <w:trPr>
                      <w:trHeight w:val="1041"/>
                    </w:trPr>
                    <w:tc>
                      <w:tcPr>
                        <w:tcW w:w="4536" w:type="dxa"/>
                        <w:vAlign w:val="bottom"/>
                      </w:tcPr>
                      <w:p w:rsidR="003A7899" w:rsidRPr="0047798E" w:rsidRDefault="008A1B54" w:rsidP="00A161F4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 w:rsidR="003A7899"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Источники </w:t>
                        </w:r>
                        <w:proofErr w:type="gramStart"/>
                        <w:r w:rsidR="003A7899"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>внутреннего</w:t>
                        </w:r>
                        <w:proofErr w:type="gramEnd"/>
                        <w:r w:rsidR="003A7899"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        </w:t>
                        </w:r>
                      </w:p>
                      <w:p w:rsidR="003A7899" w:rsidRPr="0047798E" w:rsidRDefault="008A1B54" w:rsidP="00A161F4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="003A7899"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финансирования дефицитов </w:t>
                        </w:r>
                      </w:p>
                      <w:p w:rsidR="003A7899" w:rsidRPr="0047798E" w:rsidRDefault="008A1B54" w:rsidP="00A161F4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="003A7899"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>бюджетов</w:t>
                        </w:r>
                      </w:p>
                      <w:p w:rsidR="003A7899" w:rsidRPr="006408D6" w:rsidRDefault="003A7899" w:rsidP="00A161F4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35" w:right="-698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000 01 00 00 00 00 0000 000</w:t>
                  </w: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1200,1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7798E">
                    <w:rPr>
                      <w:rFonts w:ascii="Times New Roman" w:hAnsi="Times New Roman"/>
                      <w:b/>
                      <w:bCs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000 01 02 00 00 00 0000 000</w:t>
                  </w: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916,7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75,1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 xml:space="preserve">Получение кредитов от кредитных организаций </w:t>
                  </w:r>
                  <w:proofErr w:type="spellStart"/>
                  <w:r w:rsidRPr="0047798E">
                    <w:rPr>
                      <w:rFonts w:ascii="Times New Roman" w:hAnsi="Times New Roman"/>
                    </w:rPr>
                    <w:t>ввалюте</w:t>
                  </w:r>
                  <w:proofErr w:type="spellEnd"/>
                  <w:r w:rsidRPr="0047798E">
                    <w:rPr>
                      <w:rFonts w:ascii="Times New Roman" w:hAnsi="Times New Roman"/>
                    </w:rPr>
                    <w:t xml:space="preserve">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000 01 02 00 00 00 0000 700</w:t>
                  </w: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1900,0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000 01 02 00 00 10 0000 710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1900,0</w:t>
                  </w:r>
                </w:p>
              </w:tc>
            </w:tr>
            <w:tr w:rsidR="003A7899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 xml:space="preserve">Погашение кредитов от кредитных организаций </w:t>
                  </w:r>
                  <w:proofErr w:type="gramStart"/>
                  <w:r w:rsidRPr="0047798E">
                    <w:rPr>
                      <w:rFonts w:ascii="Times New Roman" w:hAnsi="Times New Roman"/>
                    </w:rPr>
                    <w:t>в</w:t>
                  </w:r>
                  <w:proofErr w:type="gramEnd"/>
                </w:p>
                <w:p w:rsidR="003A7899" w:rsidRPr="0047798E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</w:pPr>
                  <w:r>
                    <w:t>000 01 02 00 00 00 0000 800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-183,3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-1250,0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-1824,9</w:t>
                  </w:r>
                </w:p>
              </w:tc>
            </w:tr>
            <w:tr w:rsidR="003A7899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</w:pPr>
                  <w:r>
                    <w:t xml:space="preserve">000 01 02 00 00 10 0000 810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-183,3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-1250,0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-1824,9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7798E">
                    <w:rPr>
                      <w:rFonts w:ascii="Times New Roman" w:hAnsi="Times New Roman"/>
                      <w:b/>
                      <w:bCs/>
                    </w:rPr>
                    <w:lastRenderedPageBreak/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000 01 03 00 00 00 0000 000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-817,7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000 01 03 01 00 00 0000 800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-817,7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000 01 03 01 00 10 0000 810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-817,7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  <w:b/>
                      <w:bCs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835" w:type="dxa"/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000 01 05 00 00 00 0000 000</w:t>
                  </w:r>
                </w:p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742,6</w:t>
                  </w:r>
                </w:p>
              </w:tc>
            </w:tr>
            <w:tr w:rsidR="003A7899" w:rsidRPr="006408D6" w:rsidTr="00725FFB">
              <w:trPr>
                <w:trHeight w:val="57"/>
              </w:trPr>
              <w:tc>
                <w:tcPr>
                  <w:tcW w:w="3681" w:type="dxa"/>
                </w:tcPr>
                <w:p w:rsidR="003A7899" w:rsidRPr="0047798E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835" w:type="dxa"/>
                </w:tcPr>
                <w:tbl>
                  <w:tblPr>
                    <w:tblW w:w="424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240"/>
                  </w:tblGrid>
                  <w:tr w:rsidR="003A7899" w:rsidRPr="006408D6" w:rsidTr="009A0508">
                    <w:trPr>
                      <w:trHeight w:val="1065"/>
                    </w:trPr>
                    <w:tc>
                      <w:tcPr>
                        <w:tcW w:w="4240" w:type="dxa"/>
                        <w:tcBorders>
                          <w:top w:val="nil"/>
                          <w:right w:val="single" w:sz="4" w:space="0" w:color="auto"/>
                        </w:tcBorders>
                        <w:vAlign w:val="bottom"/>
                      </w:tcPr>
                      <w:p w:rsidR="003A7899" w:rsidRPr="006408D6" w:rsidRDefault="003A7899" w:rsidP="00A161F4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</w:pPr>
                        <w:r w:rsidRPr="006408D6">
                          <w:t xml:space="preserve">000 01 05 02 01 10 0000 </w:t>
                        </w:r>
                        <w:r>
                          <w:t xml:space="preserve"> </w:t>
                        </w:r>
                        <w:r w:rsidRPr="006408D6">
                          <w:t>000</w:t>
                        </w:r>
                      </w:p>
                      <w:p w:rsidR="003A7899" w:rsidRPr="006408D6" w:rsidRDefault="003A7899" w:rsidP="00A161F4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4"/>
                            <w:szCs w:val="24"/>
                          </w:rPr>
                        </w:pPr>
                      </w:p>
                      <w:p w:rsidR="003A7899" w:rsidRPr="006408D6" w:rsidRDefault="003A7899" w:rsidP="00A161F4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3A7899" w:rsidRPr="006408D6" w:rsidRDefault="003A7899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742,6</w:t>
                  </w:r>
                </w:p>
              </w:tc>
            </w:tr>
          </w:tbl>
          <w:p w:rsidR="00771778" w:rsidRDefault="00771778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D744F8" w:rsidRDefault="00D744F8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823E6A" w:rsidRPr="00093317" w:rsidRDefault="00823E6A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A30B5A" w:rsidRPr="000B680D" w:rsidRDefault="00D267B9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6E030C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435BEB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A33919" w:rsidRDefault="00A33919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435BEB" w:rsidRDefault="00A33919" w:rsidP="0037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0B57AE" w:rsidRDefault="00A33919" w:rsidP="0037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</w:t>
            </w:r>
            <w:proofErr w:type="gramStart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группам видов расходов классификации расходов бюд</w:t>
            </w:r>
            <w:r w:rsidR="00435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2019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BC714F" w:rsidRPr="00D40481" w:rsidRDefault="00BC714F" w:rsidP="00D40481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1276"/>
              <w:gridCol w:w="1701"/>
              <w:gridCol w:w="1134"/>
              <w:gridCol w:w="1418"/>
            </w:tblGrid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ублей</w:t>
                  </w:r>
                  <w:proofErr w:type="spellEnd"/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145323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="00D40481"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145323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="00D40481"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145323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="00D40481"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145323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="00D40481"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4 763,1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3 876,0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925,3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78043A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40481" w:rsidRPr="00D40481" w:rsidTr="00E959D4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0481" w:rsidRPr="0037617A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40481" w:rsidRPr="00D40481" w:rsidTr="004525B4">
              <w:trPr>
                <w:trHeight w:val="255"/>
              </w:trPr>
              <w:tc>
                <w:tcPr>
                  <w:tcW w:w="8642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0481" w:rsidRPr="00D40481" w:rsidRDefault="00D40481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</w:tbl>
          <w:p w:rsidR="00BC714F" w:rsidRPr="000B57AE" w:rsidRDefault="00BC714F" w:rsidP="000B57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967B9" w:rsidRDefault="00D267B9" w:rsidP="009A050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          </w:t>
            </w:r>
          </w:p>
          <w:p w:rsidR="009A0508" w:rsidRDefault="009A0508" w:rsidP="009A050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Cs w:val="28"/>
              </w:rPr>
            </w:pPr>
          </w:p>
          <w:p w:rsidR="009A0508" w:rsidRPr="00D267B9" w:rsidRDefault="009A0508" w:rsidP="009A050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D40481">
        <w:trPr>
          <w:trHeight w:val="227"/>
        </w:trPr>
        <w:tc>
          <w:tcPr>
            <w:tcW w:w="10095" w:type="dxa"/>
          </w:tcPr>
          <w:p w:rsidR="00E959D4" w:rsidRDefault="00E959D4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959D4" w:rsidRDefault="00E959D4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959D4" w:rsidRDefault="00E959D4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959D4" w:rsidRDefault="00E959D4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9A0508" w:rsidRDefault="009A0508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7617A" w:rsidRDefault="0037617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741F09" w:rsidRPr="006340EB" w:rsidRDefault="00D724D7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Приложение № 10</w:t>
            </w:r>
          </w:p>
          <w:p w:rsidR="00741F09" w:rsidRPr="006340EB" w:rsidRDefault="006E030C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 решению Совета  депутатов     </w:t>
            </w:r>
          </w:p>
          <w:p w:rsidR="00741F09" w:rsidRPr="006340EB" w:rsidRDefault="00741F09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Default="00412D1C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2019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2020 и 2021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D724D7" w:rsidRPr="006340EB" w:rsidRDefault="00D724D7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D4CE6" w:rsidRPr="00A46D68" w:rsidRDefault="00AD4CE6" w:rsidP="0037617A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D4CE6" w:rsidRPr="00A46D68" w:rsidRDefault="00412D1C" w:rsidP="0037617A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2019</w:t>
            </w:r>
            <w:r w:rsidR="00A46D68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D4CE6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412D1C" w:rsidRDefault="00412D1C" w:rsidP="0037617A">
            <w:pPr>
              <w:spacing w:after="0" w:line="240" w:lineRule="auto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12D1C" w:rsidRDefault="00412D1C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850"/>
              <w:gridCol w:w="992"/>
              <w:gridCol w:w="1418"/>
              <w:gridCol w:w="992"/>
              <w:gridCol w:w="1276"/>
            </w:tblGrid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0508" w:rsidRPr="009A0508" w:rsidRDefault="004525B4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ублей</w:t>
                  </w:r>
                  <w:proofErr w:type="spellEnd"/>
                  <w:r w:rsidR="004525B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145323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="009A0508"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145323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="009A0508"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145323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="009A0508"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145323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="009A0508"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4 763,1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3 876,0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925,3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энергосбережению и повышению энергетической эффективности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222C7"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A0508" w:rsidRPr="009A0508" w:rsidTr="00E959D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0508" w:rsidRPr="0037617A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A0508" w:rsidRPr="009A0508" w:rsidTr="009A0508">
              <w:trPr>
                <w:trHeight w:val="255"/>
              </w:trPr>
              <w:tc>
                <w:tcPr>
                  <w:tcW w:w="864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0508" w:rsidRPr="009A0508" w:rsidRDefault="009A0508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</w:tbl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724D7" w:rsidRDefault="00D724D7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5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</w:tblGrid>
            <w:tr w:rsidR="00844EC7" w:rsidRPr="00741F09" w:rsidTr="00D724D7">
              <w:trPr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A161F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768A" w:rsidRPr="0039768A" w:rsidRDefault="006340EB" w:rsidP="00D724D7">
            <w:pPr>
              <w:spacing w:after="0" w:line="240" w:lineRule="exact"/>
              <w:ind w:right="789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3976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39768A" w:rsidRDefault="0039768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768A" w:rsidRDefault="0039768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16EC" w:rsidRDefault="003E16EC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340EB" w:rsidRDefault="00D724D7" w:rsidP="00AD4CE6">
            <w:pPr>
              <w:autoSpaceDE w:val="0"/>
              <w:autoSpaceDN w:val="0"/>
              <w:adjustRightInd w:val="0"/>
              <w:ind w:left="595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</w:t>
            </w:r>
          </w:p>
          <w:p w:rsidR="00114B51" w:rsidRDefault="00114B51" w:rsidP="00114B51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B2952" w:rsidRDefault="00BB2952" w:rsidP="00BB2952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0E" w:rsidRDefault="00521C0E" w:rsidP="00A46D68">
      <w:pPr>
        <w:spacing w:after="0" w:line="240" w:lineRule="auto"/>
      </w:pPr>
      <w:r>
        <w:separator/>
      </w:r>
    </w:p>
  </w:endnote>
  <w:endnote w:type="continuationSeparator" w:id="0">
    <w:p w:rsidR="00521C0E" w:rsidRDefault="00521C0E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0E" w:rsidRDefault="00521C0E" w:rsidP="00A46D68">
      <w:pPr>
        <w:spacing w:after="0" w:line="240" w:lineRule="auto"/>
      </w:pPr>
      <w:r>
        <w:separator/>
      </w:r>
    </w:p>
  </w:footnote>
  <w:footnote w:type="continuationSeparator" w:id="0">
    <w:p w:rsidR="00521C0E" w:rsidRDefault="00521C0E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9"/>
    <w:rsid w:val="00000C65"/>
    <w:rsid w:val="000222C7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7DCF"/>
    <w:rsid w:val="00071FE1"/>
    <w:rsid w:val="00076982"/>
    <w:rsid w:val="000769DB"/>
    <w:rsid w:val="000773EB"/>
    <w:rsid w:val="000776D7"/>
    <w:rsid w:val="00085F46"/>
    <w:rsid w:val="000865F9"/>
    <w:rsid w:val="00093317"/>
    <w:rsid w:val="000A597F"/>
    <w:rsid w:val="000A6A5E"/>
    <w:rsid w:val="000B57AE"/>
    <w:rsid w:val="000B680D"/>
    <w:rsid w:val="000C6C24"/>
    <w:rsid w:val="000C6FF7"/>
    <w:rsid w:val="000D22EA"/>
    <w:rsid w:val="000D6276"/>
    <w:rsid w:val="000D72A0"/>
    <w:rsid w:val="000E303D"/>
    <w:rsid w:val="000F4157"/>
    <w:rsid w:val="00103CF5"/>
    <w:rsid w:val="00103CF9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23"/>
    <w:rsid w:val="001453E8"/>
    <w:rsid w:val="00146334"/>
    <w:rsid w:val="001578C9"/>
    <w:rsid w:val="00160AA2"/>
    <w:rsid w:val="001672B1"/>
    <w:rsid w:val="00170C84"/>
    <w:rsid w:val="0017307B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410B"/>
    <w:rsid w:val="001E5A82"/>
    <w:rsid w:val="001F0C9C"/>
    <w:rsid w:val="001F0E8F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754D7"/>
    <w:rsid w:val="002825AB"/>
    <w:rsid w:val="00287038"/>
    <w:rsid w:val="0029218A"/>
    <w:rsid w:val="00292BAE"/>
    <w:rsid w:val="00293C93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E03D7"/>
    <w:rsid w:val="002E0AFC"/>
    <w:rsid w:val="002E3E47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3F77"/>
    <w:rsid w:val="003429FD"/>
    <w:rsid w:val="003445A7"/>
    <w:rsid w:val="003514D5"/>
    <w:rsid w:val="0035777C"/>
    <w:rsid w:val="00370E38"/>
    <w:rsid w:val="00371254"/>
    <w:rsid w:val="00375A8A"/>
    <w:rsid w:val="0037617A"/>
    <w:rsid w:val="0037753B"/>
    <w:rsid w:val="00381D4D"/>
    <w:rsid w:val="00390AF9"/>
    <w:rsid w:val="00392022"/>
    <w:rsid w:val="0039526D"/>
    <w:rsid w:val="00395ECE"/>
    <w:rsid w:val="0039768A"/>
    <w:rsid w:val="003A28D6"/>
    <w:rsid w:val="003A3D42"/>
    <w:rsid w:val="003A7640"/>
    <w:rsid w:val="003A7899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2D1C"/>
    <w:rsid w:val="00417ECF"/>
    <w:rsid w:val="004250CC"/>
    <w:rsid w:val="0042675F"/>
    <w:rsid w:val="004321B1"/>
    <w:rsid w:val="00435BEB"/>
    <w:rsid w:val="00446C46"/>
    <w:rsid w:val="0044789D"/>
    <w:rsid w:val="0045050B"/>
    <w:rsid w:val="004525B4"/>
    <w:rsid w:val="004608EC"/>
    <w:rsid w:val="004638E9"/>
    <w:rsid w:val="00473389"/>
    <w:rsid w:val="004762C9"/>
    <w:rsid w:val="0047798E"/>
    <w:rsid w:val="004800E6"/>
    <w:rsid w:val="00481C1E"/>
    <w:rsid w:val="00482141"/>
    <w:rsid w:val="004908C9"/>
    <w:rsid w:val="00491B84"/>
    <w:rsid w:val="00491E17"/>
    <w:rsid w:val="00492E3C"/>
    <w:rsid w:val="00493839"/>
    <w:rsid w:val="00493D61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696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1C0E"/>
    <w:rsid w:val="00525AA0"/>
    <w:rsid w:val="00531189"/>
    <w:rsid w:val="00532587"/>
    <w:rsid w:val="005362E1"/>
    <w:rsid w:val="00541D07"/>
    <w:rsid w:val="005423F3"/>
    <w:rsid w:val="00551080"/>
    <w:rsid w:val="00551496"/>
    <w:rsid w:val="00555736"/>
    <w:rsid w:val="00565DC5"/>
    <w:rsid w:val="005702DF"/>
    <w:rsid w:val="00574326"/>
    <w:rsid w:val="00574857"/>
    <w:rsid w:val="0057526A"/>
    <w:rsid w:val="00576B40"/>
    <w:rsid w:val="00577B88"/>
    <w:rsid w:val="00581A4D"/>
    <w:rsid w:val="005875BA"/>
    <w:rsid w:val="005936BF"/>
    <w:rsid w:val="00594F8C"/>
    <w:rsid w:val="005A3576"/>
    <w:rsid w:val="005A3592"/>
    <w:rsid w:val="005A3931"/>
    <w:rsid w:val="005A62CA"/>
    <w:rsid w:val="005A6469"/>
    <w:rsid w:val="005B28CB"/>
    <w:rsid w:val="005B72DE"/>
    <w:rsid w:val="005C1304"/>
    <w:rsid w:val="005E2630"/>
    <w:rsid w:val="005E62E5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20AB"/>
    <w:rsid w:val="00653973"/>
    <w:rsid w:val="00654342"/>
    <w:rsid w:val="00673C68"/>
    <w:rsid w:val="006743BB"/>
    <w:rsid w:val="006801C5"/>
    <w:rsid w:val="006828FA"/>
    <w:rsid w:val="006840B8"/>
    <w:rsid w:val="00690A16"/>
    <w:rsid w:val="006934F4"/>
    <w:rsid w:val="006967B9"/>
    <w:rsid w:val="006979B5"/>
    <w:rsid w:val="006A0FEC"/>
    <w:rsid w:val="006A1864"/>
    <w:rsid w:val="006A46D1"/>
    <w:rsid w:val="006B1C82"/>
    <w:rsid w:val="006B6700"/>
    <w:rsid w:val="006C19EE"/>
    <w:rsid w:val="006E030C"/>
    <w:rsid w:val="006E3F8C"/>
    <w:rsid w:val="006F0A9F"/>
    <w:rsid w:val="006F1040"/>
    <w:rsid w:val="006F40EF"/>
    <w:rsid w:val="006F58D6"/>
    <w:rsid w:val="0070583B"/>
    <w:rsid w:val="007059C9"/>
    <w:rsid w:val="00714970"/>
    <w:rsid w:val="007159DA"/>
    <w:rsid w:val="00715C3B"/>
    <w:rsid w:val="00722B00"/>
    <w:rsid w:val="00725FFB"/>
    <w:rsid w:val="0073218F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74EFA"/>
    <w:rsid w:val="0078043A"/>
    <w:rsid w:val="00783EE9"/>
    <w:rsid w:val="007877CB"/>
    <w:rsid w:val="00793D44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964"/>
    <w:rsid w:val="00844EC7"/>
    <w:rsid w:val="008457E4"/>
    <w:rsid w:val="008519C0"/>
    <w:rsid w:val="00852F0D"/>
    <w:rsid w:val="00857631"/>
    <w:rsid w:val="00863B56"/>
    <w:rsid w:val="008657BA"/>
    <w:rsid w:val="00867572"/>
    <w:rsid w:val="008679FD"/>
    <w:rsid w:val="0087001C"/>
    <w:rsid w:val="00872606"/>
    <w:rsid w:val="00875DB7"/>
    <w:rsid w:val="008873A4"/>
    <w:rsid w:val="008906FD"/>
    <w:rsid w:val="008914D2"/>
    <w:rsid w:val="0089370F"/>
    <w:rsid w:val="00893FCB"/>
    <w:rsid w:val="00897D0A"/>
    <w:rsid w:val="008A1854"/>
    <w:rsid w:val="008A1B54"/>
    <w:rsid w:val="008A5AEC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64582"/>
    <w:rsid w:val="00967041"/>
    <w:rsid w:val="00973E46"/>
    <w:rsid w:val="0097591D"/>
    <w:rsid w:val="00982C7B"/>
    <w:rsid w:val="00991330"/>
    <w:rsid w:val="0099487B"/>
    <w:rsid w:val="009A0508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61F4"/>
    <w:rsid w:val="00A17407"/>
    <w:rsid w:val="00A22C7F"/>
    <w:rsid w:val="00A26159"/>
    <w:rsid w:val="00A30B5A"/>
    <w:rsid w:val="00A33919"/>
    <w:rsid w:val="00A342B7"/>
    <w:rsid w:val="00A418B8"/>
    <w:rsid w:val="00A4484A"/>
    <w:rsid w:val="00A45A88"/>
    <w:rsid w:val="00A46AAC"/>
    <w:rsid w:val="00A46D68"/>
    <w:rsid w:val="00A62310"/>
    <w:rsid w:val="00A63D80"/>
    <w:rsid w:val="00A73851"/>
    <w:rsid w:val="00A73FBE"/>
    <w:rsid w:val="00A90734"/>
    <w:rsid w:val="00AB0118"/>
    <w:rsid w:val="00AB1519"/>
    <w:rsid w:val="00AB3BFE"/>
    <w:rsid w:val="00AB6C0C"/>
    <w:rsid w:val="00AD2B63"/>
    <w:rsid w:val="00AD2BE3"/>
    <w:rsid w:val="00AD4197"/>
    <w:rsid w:val="00AD4CE6"/>
    <w:rsid w:val="00AD4D68"/>
    <w:rsid w:val="00AE3F9C"/>
    <w:rsid w:val="00AE556C"/>
    <w:rsid w:val="00AE6069"/>
    <w:rsid w:val="00AE7206"/>
    <w:rsid w:val="00AE757B"/>
    <w:rsid w:val="00AF074A"/>
    <w:rsid w:val="00AF52D4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0823"/>
    <w:rsid w:val="00BC2C33"/>
    <w:rsid w:val="00BC714F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1B00"/>
    <w:rsid w:val="00C35E42"/>
    <w:rsid w:val="00C37B8A"/>
    <w:rsid w:val="00C530B9"/>
    <w:rsid w:val="00C53F00"/>
    <w:rsid w:val="00C6162F"/>
    <w:rsid w:val="00C7207F"/>
    <w:rsid w:val="00C73BFC"/>
    <w:rsid w:val="00C82AC5"/>
    <w:rsid w:val="00C8533D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481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2455"/>
    <w:rsid w:val="00E26809"/>
    <w:rsid w:val="00E334D9"/>
    <w:rsid w:val="00E33939"/>
    <w:rsid w:val="00E3646E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59D4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FC3"/>
    <w:rsid w:val="00F546EC"/>
    <w:rsid w:val="00F64CFC"/>
    <w:rsid w:val="00F659AB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C2DE-DBFD-4433-AF2F-1B5448C4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2</cp:revision>
  <cp:lastPrinted>2019-02-15T07:36:00Z</cp:lastPrinted>
  <dcterms:created xsi:type="dcterms:W3CDTF">2019-02-15T14:47:00Z</dcterms:created>
  <dcterms:modified xsi:type="dcterms:W3CDTF">2019-02-15T14:47:00Z</dcterms:modified>
</cp:coreProperties>
</file>